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7C" w:rsidRDefault="00667F88" w:rsidP="00644C7C">
      <w:pPr>
        <w:pStyle w:val="Didascalia"/>
        <w:spacing w:line="240" w:lineRule="atLeast"/>
        <w:rPr>
          <w:sz w:val="28"/>
          <w:szCs w:val="28"/>
        </w:rPr>
      </w:pPr>
      <w:r>
        <w:rPr>
          <w:sz w:val="28"/>
          <w:szCs w:val="28"/>
        </w:rPr>
        <w:t>COMUNE DI</w:t>
      </w:r>
      <w:r w:rsidR="00644C7C" w:rsidRPr="00BF3B2E">
        <w:rPr>
          <w:sz w:val="28"/>
          <w:szCs w:val="28"/>
        </w:rPr>
        <w:t xml:space="preserve"> </w:t>
      </w:r>
      <w:r>
        <w:rPr>
          <w:sz w:val="28"/>
          <w:szCs w:val="28"/>
        </w:rPr>
        <w:t>OSIMO</w:t>
      </w:r>
    </w:p>
    <w:p w:rsidR="003E59D0" w:rsidRPr="003E59D0" w:rsidRDefault="003E59D0" w:rsidP="003E59D0">
      <w:pPr>
        <w:jc w:val="center"/>
        <w:rPr>
          <w:rFonts w:ascii="Times New Roman" w:hAnsi="Times New Roman"/>
          <w:b/>
          <w:sz w:val="28"/>
          <w:szCs w:val="28"/>
          <w:lang w:eastAsia="it-IT"/>
        </w:rPr>
      </w:pPr>
      <w:r w:rsidRPr="003E59D0">
        <w:rPr>
          <w:rFonts w:ascii="Times New Roman" w:hAnsi="Times New Roman"/>
          <w:b/>
          <w:sz w:val="28"/>
          <w:szCs w:val="28"/>
          <w:lang w:eastAsia="it-IT"/>
        </w:rPr>
        <w:t>SETTORE SEGRETERIA/AFFARI GENERALI</w:t>
      </w:r>
    </w:p>
    <w:p w:rsidR="00407F88" w:rsidRPr="00545DC3" w:rsidRDefault="00407F88" w:rsidP="00412507">
      <w:pPr>
        <w:spacing w:after="0" w:line="240" w:lineRule="atLeast"/>
        <w:jc w:val="center"/>
        <w:rPr>
          <w:rFonts w:ascii="Times New Roman" w:hAnsi="Times New Roman"/>
          <w:b/>
          <w:sz w:val="24"/>
          <w:szCs w:val="24"/>
        </w:rPr>
      </w:pPr>
      <w:r w:rsidRPr="00545DC3">
        <w:rPr>
          <w:rFonts w:ascii="Times New Roman" w:hAnsi="Times New Roman"/>
          <w:b/>
          <w:sz w:val="24"/>
          <w:szCs w:val="24"/>
        </w:rPr>
        <w:t>CAPITOLATO SPECIALE D'APPALTO</w:t>
      </w:r>
    </w:p>
    <w:p w:rsidR="00407F88" w:rsidRDefault="00644C7C" w:rsidP="003878B3">
      <w:pPr>
        <w:spacing w:after="0" w:line="240" w:lineRule="atLeast"/>
        <w:jc w:val="both"/>
        <w:rPr>
          <w:rFonts w:ascii="Times New Roman" w:hAnsi="Times New Roman"/>
          <w:b/>
          <w:sz w:val="24"/>
          <w:szCs w:val="24"/>
        </w:rPr>
      </w:pPr>
      <w:r w:rsidRPr="00644C7C">
        <w:rPr>
          <w:rFonts w:ascii="Times New Roman" w:hAnsi="Times New Roman"/>
          <w:b/>
          <w:sz w:val="24"/>
          <w:szCs w:val="24"/>
        </w:rPr>
        <w:t>PER AFFIDAMENTO SERVI</w:t>
      </w:r>
      <w:r w:rsidR="005E5FA8">
        <w:rPr>
          <w:rFonts w:ascii="Times New Roman" w:hAnsi="Times New Roman"/>
          <w:b/>
          <w:sz w:val="24"/>
          <w:szCs w:val="24"/>
        </w:rPr>
        <w:t xml:space="preserve">ZIO DI </w:t>
      </w:r>
      <w:r w:rsidR="003878B3">
        <w:rPr>
          <w:rFonts w:ascii="Times New Roman" w:hAnsi="Times New Roman"/>
          <w:b/>
          <w:sz w:val="24"/>
          <w:szCs w:val="24"/>
        </w:rPr>
        <w:t>CONSULENZA E BROKERAGGIO ASSICURATIVO</w:t>
      </w:r>
    </w:p>
    <w:p w:rsidR="00D86230" w:rsidRPr="00150A0A" w:rsidRDefault="00D86230" w:rsidP="00D86230">
      <w:pPr>
        <w:autoSpaceDE w:val="0"/>
        <w:autoSpaceDN w:val="0"/>
        <w:adjustRightInd w:val="0"/>
        <w:spacing w:after="0" w:line="240" w:lineRule="auto"/>
        <w:jc w:val="center"/>
        <w:rPr>
          <w:rFonts w:ascii="Times New Roman" w:hAnsi="Times New Roman"/>
          <w:b/>
          <w:bCs/>
          <w:color w:val="000000"/>
          <w:sz w:val="24"/>
          <w:szCs w:val="24"/>
        </w:rPr>
      </w:pPr>
      <w:r w:rsidRPr="00150A0A">
        <w:rPr>
          <w:rFonts w:ascii="Times New Roman" w:hAnsi="Times New Roman"/>
          <w:b/>
          <w:bCs/>
          <w:color w:val="000000"/>
          <w:sz w:val="24"/>
          <w:szCs w:val="24"/>
        </w:rPr>
        <w:t>ai sensi dell’art. 36, comma 2, lettera a), del D. Lgs. 18 aprile 2016 n. 50</w:t>
      </w:r>
    </w:p>
    <w:p w:rsidR="00AA0B82" w:rsidRPr="00683ABB" w:rsidRDefault="00791F8A" w:rsidP="00644C7C">
      <w:pPr>
        <w:spacing w:after="0" w:line="240" w:lineRule="atLeast"/>
        <w:jc w:val="center"/>
        <w:rPr>
          <w:rFonts w:ascii="Times New Roman" w:hAnsi="Times New Roman"/>
          <w:b/>
          <w:sz w:val="24"/>
          <w:szCs w:val="24"/>
        </w:rPr>
      </w:pPr>
      <w:r>
        <w:rPr>
          <w:rFonts w:ascii="Times New Roman" w:hAnsi="Times New Roman"/>
          <w:b/>
          <w:sz w:val="24"/>
          <w:szCs w:val="24"/>
        </w:rPr>
        <w:t>CIG: Z562A7178B</w:t>
      </w:r>
    </w:p>
    <w:p w:rsidR="00407F88" w:rsidRPr="00545DC3" w:rsidRDefault="00407F88" w:rsidP="004247A2">
      <w:pPr>
        <w:spacing w:after="0" w:line="240" w:lineRule="atLeast"/>
        <w:jc w:val="both"/>
        <w:rPr>
          <w:rFonts w:ascii="Times New Roman" w:hAnsi="Times New Roman"/>
          <w:sz w:val="24"/>
          <w:szCs w:val="24"/>
        </w:rPr>
      </w:pPr>
    </w:p>
    <w:p w:rsidR="00407F88" w:rsidRPr="00545DC3" w:rsidRDefault="005E5FA8" w:rsidP="004247A2">
      <w:pPr>
        <w:spacing w:after="0" w:line="240" w:lineRule="atLeast"/>
        <w:jc w:val="both"/>
        <w:rPr>
          <w:rFonts w:ascii="Times New Roman" w:hAnsi="Times New Roman"/>
          <w:b/>
          <w:sz w:val="24"/>
          <w:szCs w:val="24"/>
        </w:rPr>
      </w:pPr>
      <w:r>
        <w:rPr>
          <w:rFonts w:ascii="Times New Roman" w:hAnsi="Times New Roman"/>
          <w:b/>
          <w:sz w:val="24"/>
          <w:szCs w:val="24"/>
        </w:rPr>
        <w:t>ART.</w:t>
      </w:r>
      <w:r w:rsidR="00773F76">
        <w:rPr>
          <w:rFonts w:ascii="Times New Roman" w:hAnsi="Times New Roman"/>
          <w:b/>
          <w:sz w:val="24"/>
          <w:szCs w:val="24"/>
        </w:rPr>
        <w:t xml:space="preserve"> </w:t>
      </w:r>
      <w:r>
        <w:rPr>
          <w:rFonts w:ascii="Times New Roman" w:hAnsi="Times New Roman"/>
          <w:b/>
          <w:sz w:val="24"/>
          <w:szCs w:val="24"/>
        </w:rPr>
        <w:t>1 - Oggetto</w:t>
      </w:r>
    </w:p>
    <w:p w:rsidR="00407F88" w:rsidRPr="00545DC3"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L'</w:t>
      </w:r>
      <w:r w:rsidR="005E5FA8">
        <w:rPr>
          <w:rFonts w:ascii="Times New Roman" w:hAnsi="Times New Roman"/>
          <w:sz w:val="24"/>
          <w:szCs w:val="24"/>
        </w:rPr>
        <w:t>affidamento</w:t>
      </w:r>
      <w:r w:rsidRPr="00545DC3">
        <w:rPr>
          <w:rFonts w:ascii="Times New Roman" w:hAnsi="Times New Roman"/>
          <w:sz w:val="24"/>
          <w:szCs w:val="24"/>
        </w:rPr>
        <w:t xml:space="preserve"> ha per oggetto lo svolgimento del servizio di brokeraggio assicurativo a favore del Comune di </w:t>
      </w:r>
      <w:r w:rsidR="001438BC">
        <w:rPr>
          <w:rFonts w:ascii="Times New Roman" w:hAnsi="Times New Roman"/>
          <w:sz w:val="24"/>
          <w:szCs w:val="24"/>
        </w:rPr>
        <w:t>Osimo</w:t>
      </w:r>
      <w:r w:rsidR="00667F88">
        <w:rPr>
          <w:rFonts w:ascii="Times New Roman" w:hAnsi="Times New Roman"/>
          <w:sz w:val="24"/>
          <w:szCs w:val="24"/>
        </w:rPr>
        <w:t xml:space="preserve">, </w:t>
      </w:r>
      <w:r w:rsidRPr="00545DC3">
        <w:rPr>
          <w:rFonts w:ascii="Times New Roman" w:hAnsi="Times New Roman"/>
          <w:sz w:val="24"/>
          <w:szCs w:val="24"/>
        </w:rPr>
        <w:t>come definito dall'art. 106 del D.</w:t>
      </w:r>
      <w:r w:rsidR="00667F88">
        <w:rPr>
          <w:rFonts w:ascii="Times New Roman" w:hAnsi="Times New Roman"/>
          <w:sz w:val="24"/>
          <w:szCs w:val="24"/>
        </w:rPr>
        <w:t xml:space="preserve"> </w:t>
      </w:r>
      <w:r w:rsidRPr="00545DC3">
        <w:rPr>
          <w:rFonts w:ascii="Times New Roman" w:hAnsi="Times New Roman"/>
          <w:sz w:val="24"/>
          <w:szCs w:val="24"/>
        </w:rPr>
        <w:t>Lgs. n. 209 del 7 settembre 2005, con particolare riferimento all'attività di consulenza, assistenza, collaborazione, gestio</w:t>
      </w:r>
      <w:r w:rsidR="00952B26">
        <w:rPr>
          <w:rFonts w:ascii="Times New Roman" w:hAnsi="Times New Roman"/>
          <w:sz w:val="24"/>
          <w:szCs w:val="24"/>
        </w:rPr>
        <w:t xml:space="preserve">ne amministrativa delle </w:t>
      </w:r>
      <w:r w:rsidR="00952B26" w:rsidRPr="00667F88">
        <w:rPr>
          <w:rFonts w:ascii="Times New Roman" w:hAnsi="Times New Roman"/>
          <w:sz w:val="24"/>
          <w:szCs w:val="24"/>
        </w:rPr>
        <w:t>polizze assicurative di competenza dell’Ente.</w:t>
      </w:r>
    </w:p>
    <w:p w:rsidR="00407F88" w:rsidRPr="00545DC3" w:rsidRDefault="00407F88" w:rsidP="004247A2">
      <w:pPr>
        <w:spacing w:after="0" w:line="240" w:lineRule="atLeast"/>
        <w:jc w:val="both"/>
        <w:rPr>
          <w:rFonts w:ascii="Times New Roman" w:hAnsi="Times New Roman"/>
          <w:sz w:val="24"/>
          <w:szCs w:val="24"/>
        </w:rPr>
      </w:pPr>
    </w:p>
    <w:p w:rsidR="00407F88" w:rsidRPr="00545DC3" w:rsidRDefault="00407F88" w:rsidP="004247A2">
      <w:pPr>
        <w:spacing w:after="0" w:line="240" w:lineRule="atLeast"/>
        <w:jc w:val="both"/>
        <w:rPr>
          <w:rFonts w:ascii="Times New Roman" w:hAnsi="Times New Roman"/>
          <w:b/>
          <w:sz w:val="24"/>
          <w:szCs w:val="24"/>
        </w:rPr>
      </w:pPr>
      <w:r w:rsidRPr="00545DC3">
        <w:rPr>
          <w:rFonts w:ascii="Times New Roman" w:hAnsi="Times New Roman"/>
          <w:b/>
          <w:sz w:val="24"/>
          <w:szCs w:val="24"/>
        </w:rPr>
        <w:t>ART.</w:t>
      </w:r>
      <w:r w:rsidR="00773F76">
        <w:rPr>
          <w:rFonts w:ascii="Times New Roman" w:hAnsi="Times New Roman"/>
          <w:b/>
          <w:sz w:val="24"/>
          <w:szCs w:val="24"/>
        </w:rPr>
        <w:t xml:space="preserve"> </w:t>
      </w:r>
      <w:r w:rsidRPr="00545DC3">
        <w:rPr>
          <w:rFonts w:ascii="Times New Roman" w:hAnsi="Times New Roman"/>
          <w:b/>
          <w:sz w:val="24"/>
          <w:szCs w:val="24"/>
        </w:rPr>
        <w:t>2 - Prestazioni oggetto dell'incarico</w:t>
      </w:r>
    </w:p>
    <w:p w:rsidR="00407F88" w:rsidRPr="005A2A3E"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 xml:space="preserve">Il </w:t>
      </w:r>
      <w:r w:rsidRPr="005A2A3E">
        <w:rPr>
          <w:rFonts w:ascii="Times New Roman" w:hAnsi="Times New Roman"/>
          <w:sz w:val="24"/>
          <w:szCs w:val="24"/>
        </w:rPr>
        <w:t>servizio ha per oggetto l'espletamento da parte del broker delle seguenti attività specialistiche che vengono indicate in via principale e non esaustiva:</w:t>
      </w:r>
    </w:p>
    <w:p w:rsidR="00407F88" w:rsidRPr="005A2A3E" w:rsidRDefault="00407F88" w:rsidP="001741BF">
      <w:pPr>
        <w:spacing w:after="0" w:line="240" w:lineRule="atLeast"/>
        <w:ind w:left="284" w:hanging="284"/>
        <w:jc w:val="both"/>
        <w:rPr>
          <w:rFonts w:ascii="Times New Roman" w:hAnsi="Times New Roman"/>
          <w:sz w:val="24"/>
          <w:szCs w:val="24"/>
        </w:rPr>
      </w:pPr>
      <w:r w:rsidRPr="005A2A3E">
        <w:rPr>
          <w:rFonts w:ascii="Times New Roman" w:hAnsi="Times New Roman"/>
          <w:sz w:val="24"/>
          <w:szCs w:val="24"/>
        </w:rPr>
        <w:t>a) identificazione, analisi e valutazione dei rischi e delle problematiche ad essi collegate nonché degli obblighi assicurativi cui è soggetto il Comune ai sensi della vigente normativa;</w:t>
      </w:r>
    </w:p>
    <w:p w:rsidR="00407F88" w:rsidRPr="00545DC3" w:rsidRDefault="00407F88" w:rsidP="001741BF">
      <w:pPr>
        <w:spacing w:after="0" w:line="240" w:lineRule="atLeast"/>
        <w:ind w:left="284" w:hanging="284"/>
        <w:jc w:val="both"/>
        <w:rPr>
          <w:rFonts w:ascii="Times New Roman" w:hAnsi="Times New Roman"/>
          <w:sz w:val="24"/>
          <w:szCs w:val="24"/>
        </w:rPr>
      </w:pPr>
      <w:r w:rsidRPr="005A2A3E">
        <w:rPr>
          <w:rFonts w:ascii="Times New Roman" w:hAnsi="Times New Roman"/>
          <w:sz w:val="24"/>
          <w:szCs w:val="24"/>
        </w:rPr>
        <w:t>b) presentazione entro sessanta giorni dalla sottoscrizione del contratto di una dettagliata relazione tecnica contenente: identificazione dei rischi rispetto ai quali l'Ente è tenuto a munirsi di idonea copertura assicurativa, analisi del sistema assicurativo dell'Ente e suo raffronto con il fabbisogno, prospettazione di un idoneo piano assicurativo, analisi comparativa, sia sul piano normativo che economico, delle varie</w:t>
      </w:r>
      <w:r w:rsidRPr="00545DC3">
        <w:rPr>
          <w:rFonts w:ascii="Times New Roman" w:hAnsi="Times New Roman"/>
          <w:sz w:val="24"/>
          <w:szCs w:val="24"/>
        </w:rPr>
        <w:t xml:space="preserve"> forme di coperture assicurative, per massimizzare l'economicità e garantire la miglior copertura dei rischi;</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c) assistenza alle procedure di gara in particolare riguardo alla predisposizione dei bandi e dei capitolati, assistenza nello svolgimento delle gare, controlli di conformità e di economicità delle singole</w:t>
      </w:r>
      <w:r w:rsidR="00CC52FB">
        <w:rPr>
          <w:rFonts w:ascii="Times New Roman" w:hAnsi="Times New Roman"/>
          <w:sz w:val="24"/>
          <w:szCs w:val="24"/>
        </w:rPr>
        <w:t xml:space="preserve"> </w:t>
      </w:r>
      <w:r w:rsidRPr="00545DC3">
        <w:rPr>
          <w:rFonts w:ascii="Times New Roman" w:hAnsi="Times New Roman"/>
          <w:sz w:val="24"/>
          <w:szCs w:val="24"/>
        </w:rPr>
        <w:t>offerte rispetto a quanto richiesto nel Capitolato di gara e valutazione delle offerte pervenute;</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d) collaborazione nella fase contrattuale ed assistenza nella gestione amministrativa e tecnica dei contratti di assicurazione sia se stipulati con la collaborazione del broker sia per quelli già in corso alla data di inizio dell'incarico, con il controllo sull'emissione delle polizze, appendici, scadenza dei ratei e ogni altra connessa attività di gestione successiva alla stipula;</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e) assistenza nella gestione dei vari sinistri, anche quando il Comune dovesse trovarsi nella veste di danneggiato ed anche quando i sinistri, seppure riferiti ad epoca precedente, non siano ancora stati definiti alla data di inizio del servizio oggetto del presente capitolato;</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f) assistenza nelle varie fasi di trattazione dei sinistri: apertura, trattazione</w:t>
      </w:r>
      <w:r w:rsidR="00CC52FB">
        <w:rPr>
          <w:rFonts w:ascii="Times New Roman" w:hAnsi="Times New Roman"/>
          <w:sz w:val="24"/>
          <w:szCs w:val="24"/>
        </w:rPr>
        <w:t>,</w:t>
      </w:r>
      <w:r w:rsidRPr="00545DC3">
        <w:rPr>
          <w:rFonts w:ascii="Times New Roman" w:hAnsi="Times New Roman"/>
          <w:sz w:val="24"/>
          <w:szCs w:val="24"/>
        </w:rPr>
        <w:t xml:space="preserve"> definizione dei sinistri, con le modalità confacenti ad ogni tipologia di rischio, in modo da giungere, nel minore tempo possibile, ad una soddisfacente liquidazione da parte delle compagnie assicuratrici, con particolare cura rivolta ai tempi di celere chiusura dei danni occorsi;</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g) valutazione semestrale dell'andamento dei sinistri in cui è coinvolto l'Ente, con produzione di un report contenente sia dati numerici (numero dei sinistri, ammontare delle liquidazioni effettuate), sia descrittivi (natura ed andamento della sinistrosità e stato dei sinistri aperti);</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h) analisi dei sinistri non risarciti dalle compagnie di assicurazione, al fine di valutare ogni possibile ulteriore azione entro i termini di prescrizione previsti dalla legge;</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i) segnalazione di nuove e/o diverse esigenze assicurative che dovessero eventualmente emergere nel proseguo del rapporto;</w:t>
      </w:r>
    </w:p>
    <w:p w:rsidR="00407F88" w:rsidRPr="00545DC3" w:rsidRDefault="00CC52FB" w:rsidP="001741BF">
      <w:pPr>
        <w:spacing w:after="0" w:line="240" w:lineRule="atLeast"/>
        <w:ind w:left="284" w:hanging="284"/>
        <w:jc w:val="both"/>
        <w:rPr>
          <w:rFonts w:ascii="Times New Roman" w:hAnsi="Times New Roman"/>
          <w:sz w:val="24"/>
          <w:szCs w:val="24"/>
        </w:rPr>
      </w:pPr>
      <w:r>
        <w:rPr>
          <w:rFonts w:ascii="Times New Roman" w:hAnsi="Times New Roman"/>
          <w:sz w:val="24"/>
          <w:szCs w:val="24"/>
        </w:rPr>
        <w:t>l</w:t>
      </w:r>
      <w:r w:rsidR="00407F88" w:rsidRPr="00545DC3">
        <w:rPr>
          <w:rFonts w:ascii="Times New Roman" w:hAnsi="Times New Roman"/>
          <w:sz w:val="24"/>
          <w:szCs w:val="24"/>
        </w:rPr>
        <w:t>) rapporto annuale sullo stato delle varie polizze, dei sinistri attivi e passivi pagati dalle compagnie assicuratrici con relativo importo, comunicazione degli importi dei premi assicurativi dovuti e dei termini di pagamento con preavviso di almeno 30 giorni, segnalazione delle eventuali franchigie da versare;</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lastRenderedPageBreak/>
        <w:t>m)</w:t>
      </w:r>
      <w:r w:rsidR="00CC52FB">
        <w:rPr>
          <w:rFonts w:ascii="Times New Roman" w:hAnsi="Times New Roman"/>
          <w:sz w:val="24"/>
          <w:szCs w:val="24"/>
        </w:rPr>
        <w:t xml:space="preserve"> </w:t>
      </w:r>
      <w:r w:rsidRPr="00545DC3">
        <w:rPr>
          <w:rFonts w:ascii="Times New Roman" w:hAnsi="Times New Roman"/>
          <w:sz w:val="24"/>
          <w:szCs w:val="24"/>
        </w:rPr>
        <w:t>individuazione degli obblighi assicurativi da porre a carico di terzi che stipulino con l'Ente convenzioni o contratti di vario tipo (locazione, comodato, gestione di impianti, prestazioni, ecc.), nonché verifica della corrispondenza delle polizze da questi stipulate alle norme della convenzione o del contratto;</w:t>
      </w:r>
    </w:p>
    <w:p w:rsidR="00407F88" w:rsidRPr="00545DC3" w:rsidRDefault="00407F88" w:rsidP="001741BF">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n) supporto formativo del personale dell'ente (anche con la resa di pareri in forma scritta) che collabora alla gestione dei contratti assicurativi a cadenza almeno semestrale ed in occasione dell'introduzione di novità legislative in materia assicurativa.</w:t>
      </w:r>
    </w:p>
    <w:p w:rsidR="00407F88" w:rsidRPr="00545DC3" w:rsidRDefault="00407F88" w:rsidP="004247A2">
      <w:pPr>
        <w:spacing w:after="0" w:line="240" w:lineRule="atLeast"/>
        <w:jc w:val="both"/>
        <w:rPr>
          <w:rFonts w:ascii="Times New Roman" w:hAnsi="Times New Roman"/>
          <w:b/>
          <w:sz w:val="24"/>
          <w:szCs w:val="24"/>
        </w:rPr>
      </w:pPr>
    </w:p>
    <w:p w:rsidR="00407F88" w:rsidRPr="00545DC3" w:rsidRDefault="00407F88" w:rsidP="004247A2">
      <w:pPr>
        <w:spacing w:after="0" w:line="240" w:lineRule="atLeast"/>
        <w:jc w:val="both"/>
        <w:rPr>
          <w:rFonts w:ascii="Times New Roman" w:hAnsi="Times New Roman"/>
          <w:b/>
          <w:sz w:val="24"/>
          <w:szCs w:val="24"/>
        </w:rPr>
      </w:pPr>
      <w:r w:rsidRPr="00545DC3">
        <w:rPr>
          <w:rFonts w:ascii="Times New Roman" w:hAnsi="Times New Roman"/>
          <w:b/>
          <w:sz w:val="24"/>
          <w:szCs w:val="24"/>
        </w:rPr>
        <w:t>ART. 3 - Durata dell'incarico</w:t>
      </w:r>
    </w:p>
    <w:p w:rsidR="00407F88" w:rsidRPr="00545DC3"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 xml:space="preserve">L'incarico avrà durata di anni </w:t>
      </w:r>
      <w:r w:rsidR="003C6FDC">
        <w:rPr>
          <w:rFonts w:ascii="Times New Roman" w:hAnsi="Times New Roman"/>
          <w:sz w:val="24"/>
          <w:szCs w:val="24"/>
        </w:rPr>
        <w:t>tre</w:t>
      </w:r>
      <w:r w:rsidRPr="00545DC3">
        <w:rPr>
          <w:rFonts w:ascii="Times New Roman" w:hAnsi="Times New Roman"/>
          <w:sz w:val="24"/>
          <w:szCs w:val="24"/>
        </w:rPr>
        <w:t xml:space="preserve"> </w:t>
      </w:r>
      <w:r w:rsidRPr="001C042B">
        <w:rPr>
          <w:rFonts w:ascii="Times New Roman" w:hAnsi="Times New Roman"/>
          <w:sz w:val="24"/>
          <w:szCs w:val="24"/>
        </w:rPr>
        <w:t>a decorrere dal</w:t>
      </w:r>
      <w:r w:rsidR="008138B2" w:rsidRPr="001C042B">
        <w:rPr>
          <w:rFonts w:ascii="Times New Roman" w:hAnsi="Times New Roman"/>
          <w:sz w:val="24"/>
          <w:szCs w:val="24"/>
        </w:rPr>
        <w:t xml:space="preserve"> 1</w:t>
      </w:r>
      <w:r w:rsidR="00E36662">
        <w:rPr>
          <w:rFonts w:ascii="Times New Roman" w:hAnsi="Times New Roman"/>
          <w:sz w:val="24"/>
          <w:szCs w:val="24"/>
        </w:rPr>
        <w:t>6</w:t>
      </w:r>
      <w:r w:rsidR="008138B2" w:rsidRPr="001C042B">
        <w:rPr>
          <w:rFonts w:ascii="Times New Roman" w:hAnsi="Times New Roman"/>
          <w:sz w:val="24"/>
          <w:szCs w:val="24"/>
        </w:rPr>
        <w:t>/03/2020</w:t>
      </w:r>
      <w:r w:rsidR="00553ADD" w:rsidRPr="001C042B">
        <w:rPr>
          <w:rFonts w:ascii="Times New Roman" w:hAnsi="Times New Roman"/>
          <w:sz w:val="24"/>
          <w:szCs w:val="24"/>
        </w:rPr>
        <w:t xml:space="preserve"> e sino al </w:t>
      </w:r>
      <w:r w:rsidR="008138B2" w:rsidRPr="001C042B">
        <w:rPr>
          <w:rFonts w:ascii="Times New Roman" w:hAnsi="Times New Roman"/>
          <w:sz w:val="24"/>
          <w:szCs w:val="24"/>
        </w:rPr>
        <w:t>1</w:t>
      </w:r>
      <w:r w:rsidR="00E36662">
        <w:rPr>
          <w:rFonts w:ascii="Times New Roman" w:hAnsi="Times New Roman"/>
          <w:sz w:val="24"/>
          <w:szCs w:val="24"/>
        </w:rPr>
        <w:t>5</w:t>
      </w:r>
      <w:r w:rsidR="008138B2" w:rsidRPr="001C042B">
        <w:rPr>
          <w:rFonts w:ascii="Times New Roman" w:hAnsi="Times New Roman"/>
          <w:sz w:val="24"/>
          <w:szCs w:val="24"/>
        </w:rPr>
        <w:t>/03/202</w:t>
      </w:r>
      <w:r w:rsidR="003C6FDC">
        <w:rPr>
          <w:rFonts w:ascii="Times New Roman" w:hAnsi="Times New Roman"/>
          <w:sz w:val="24"/>
          <w:szCs w:val="24"/>
        </w:rPr>
        <w:t>3</w:t>
      </w:r>
      <w:r w:rsidR="008138B2" w:rsidRPr="001C042B">
        <w:rPr>
          <w:rFonts w:ascii="Times New Roman" w:hAnsi="Times New Roman"/>
          <w:sz w:val="24"/>
          <w:szCs w:val="24"/>
        </w:rPr>
        <w:t>.</w:t>
      </w:r>
      <w:r w:rsidRPr="00545DC3">
        <w:rPr>
          <w:rFonts w:ascii="Times New Roman" w:hAnsi="Times New Roman"/>
          <w:sz w:val="24"/>
          <w:szCs w:val="24"/>
        </w:rPr>
        <w:t xml:space="preserve"> Il broker si impegna ad iniziare lo svolgimento dell'incarico anche in pendenza della formale stipula del contratto.</w:t>
      </w:r>
    </w:p>
    <w:p w:rsidR="00407F88" w:rsidRPr="00545DC3"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Per la scadenza del contratto non è richiesto alcun preavviso o notifica.</w:t>
      </w:r>
    </w:p>
    <w:p w:rsidR="00407F88" w:rsidRPr="00545DC3"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 xml:space="preserve">La Ditta affidataria avrà l'obbligo, alla scadenza del contratto, di continuare ad effettuare il servizio alle condizioni convenute, in gestione provvisoria, fino a quando il Comune di </w:t>
      </w:r>
      <w:r w:rsidR="008138B2">
        <w:rPr>
          <w:rFonts w:ascii="Times New Roman" w:hAnsi="Times New Roman"/>
          <w:sz w:val="24"/>
          <w:szCs w:val="24"/>
        </w:rPr>
        <w:t>Osimo</w:t>
      </w:r>
      <w:r w:rsidRPr="00545DC3">
        <w:rPr>
          <w:rFonts w:ascii="Times New Roman" w:hAnsi="Times New Roman"/>
          <w:sz w:val="24"/>
          <w:szCs w:val="24"/>
        </w:rPr>
        <w:t xml:space="preserve"> non abbia provveduto a</w:t>
      </w:r>
      <w:r w:rsidR="00553ADD" w:rsidRPr="00545DC3">
        <w:rPr>
          <w:rFonts w:ascii="Times New Roman" w:hAnsi="Times New Roman"/>
          <w:sz w:val="24"/>
          <w:szCs w:val="24"/>
        </w:rPr>
        <w:t>d effettuare nuovo affidamento e/o</w:t>
      </w:r>
      <w:r w:rsidRPr="00545DC3">
        <w:rPr>
          <w:rFonts w:ascii="Times New Roman" w:hAnsi="Times New Roman"/>
          <w:sz w:val="24"/>
          <w:szCs w:val="24"/>
        </w:rPr>
        <w:t xml:space="preserve"> stipulare un nuovo contratto a seguito dell'esperimento di una nuova gara, e comunque non oltre </w:t>
      </w:r>
      <w:r w:rsidR="0045306E">
        <w:rPr>
          <w:rFonts w:ascii="Times New Roman" w:hAnsi="Times New Roman"/>
          <w:sz w:val="24"/>
          <w:szCs w:val="24"/>
        </w:rPr>
        <w:t>quattro</w:t>
      </w:r>
      <w:r w:rsidR="00553ADD" w:rsidRPr="00545DC3">
        <w:rPr>
          <w:rFonts w:ascii="Times New Roman" w:hAnsi="Times New Roman"/>
          <w:sz w:val="24"/>
          <w:szCs w:val="24"/>
        </w:rPr>
        <w:t xml:space="preserve"> mesi</w:t>
      </w:r>
      <w:r w:rsidRPr="00545DC3">
        <w:rPr>
          <w:rFonts w:ascii="Times New Roman" w:hAnsi="Times New Roman"/>
          <w:sz w:val="24"/>
          <w:szCs w:val="24"/>
        </w:rPr>
        <w:t xml:space="preserve"> dalla scadenza contrattuale.</w:t>
      </w:r>
    </w:p>
    <w:p w:rsidR="00407F88" w:rsidRPr="00545DC3" w:rsidRDefault="00407F88" w:rsidP="004247A2">
      <w:pPr>
        <w:spacing w:after="0" w:line="240" w:lineRule="atLeast"/>
        <w:jc w:val="both"/>
        <w:rPr>
          <w:rFonts w:ascii="Times New Roman" w:hAnsi="Times New Roman"/>
          <w:b/>
          <w:sz w:val="24"/>
          <w:szCs w:val="24"/>
        </w:rPr>
      </w:pPr>
    </w:p>
    <w:p w:rsidR="00407F88" w:rsidRPr="00545DC3" w:rsidRDefault="008138B2" w:rsidP="004247A2">
      <w:pPr>
        <w:spacing w:after="0" w:line="240" w:lineRule="atLeast"/>
        <w:jc w:val="both"/>
        <w:rPr>
          <w:rFonts w:ascii="Times New Roman" w:hAnsi="Times New Roman"/>
          <w:b/>
          <w:sz w:val="24"/>
          <w:szCs w:val="24"/>
        </w:rPr>
      </w:pPr>
      <w:r>
        <w:rPr>
          <w:rFonts w:ascii="Times New Roman" w:hAnsi="Times New Roman"/>
          <w:b/>
          <w:sz w:val="24"/>
          <w:szCs w:val="24"/>
        </w:rPr>
        <w:t>ART.</w:t>
      </w:r>
      <w:r w:rsidR="00773F76">
        <w:rPr>
          <w:rFonts w:ascii="Times New Roman" w:hAnsi="Times New Roman"/>
          <w:b/>
          <w:sz w:val="24"/>
          <w:szCs w:val="24"/>
        </w:rPr>
        <w:t xml:space="preserve"> </w:t>
      </w:r>
      <w:r>
        <w:rPr>
          <w:rFonts w:ascii="Times New Roman" w:hAnsi="Times New Roman"/>
          <w:b/>
          <w:sz w:val="24"/>
          <w:szCs w:val="24"/>
        </w:rPr>
        <w:t>4 -</w:t>
      </w:r>
      <w:r w:rsidR="00407F88" w:rsidRPr="00545DC3">
        <w:rPr>
          <w:rFonts w:ascii="Times New Roman" w:hAnsi="Times New Roman"/>
          <w:b/>
          <w:sz w:val="24"/>
          <w:szCs w:val="24"/>
        </w:rPr>
        <w:t xml:space="preserve"> Compensi del Broker</w:t>
      </w:r>
    </w:p>
    <w:p w:rsidR="00407F88" w:rsidRPr="00545DC3" w:rsidRDefault="00407F88" w:rsidP="004247A2">
      <w:pPr>
        <w:spacing w:after="0" w:line="240" w:lineRule="atLeast"/>
        <w:jc w:val="both"/>
        <w:rPr>
          <w:rFonts w:ascii="Times New Roman" w:hAnsi="Times New Roman"/>
          <w:sz w:val="24"/>
          <w:szCs w:val="24"/>
        </w:rPr>
      </w:pPr>
      <w:r w:rsidRPr="00545DC3">
        <w:rPr>
          <w:rFonts w:ascii="Times New Roman" w:hAnsi="Times New Roman"/>
          <w:sz w:val="24"/>
          <w:szCs w:val="24"/>
        </w:rPr>
        <w:t xml:space="preserve">I compensi del Broker, come da consuetudine di mercato, resteranno a intero ed esclusivo carico delle compagnie di assicurazione e, pertanto, nulla sarà dovuto dal Comune di </w:t>
      </w:r>
      <w:r w:rsidR="001438BC">
        <w:rPr>
          <w:rFonts w:ascii="Times New Roman" w:hAnsi="Times New Roman"/>
          <w:sz w:val="24"/>
          <w:szCs w:val="24"/>
        </w:rPr>
        <w:t>Osimo</w:t>
      </w:r>
      <w:r w:rsidRPr="00545DC3">
        <w:rPr>
          <w:rFonts w:ascii="Times New Roman" w:hAnsi="Times New Roman"/>
          <w:sz w:val="24"/>
          <w:szCs w:val="24"/>
        </w:rPr>
        <w:t xml:space="preserve"> al Broker per le attività previste dal presente capitolato né a titolo di compenso né a qualsiasi altro titolo. Al fine di garantire trasparenza e parità di condizioni fra le varie compagnie interessate all'appalto delle coperture assicurative dell'Ente, si dà e si prende atto che l'entità dei suddetti compensi, dovrà essere specificato in tutte le polizze stipulate dall'Ente e, comunque, detti compensi, non potranno superare i limiti indicati nell'offerta presentata in sede di partecipazione alla gara per l'appalto del servizio.</w:t>
      </w:r>
    </w:p>
    <w:p w:rsidR="00407F88" w:rsidRPr="00545DC3" w:rsidRDefault="00407F88" w:rsidP="004247A2">
      <w:pPr>
        <w:spacing w:after="0" w:line="240" w:lineRule="atLeast"/>
        <w:jc w:val="both"/>
        <w:rPr>
          <w:rFonts w:ascii="Times New Roman" w:hAnsi="Times New Roman"/>
          <w:b/>
          <w:sz w:val="24"/>
          <w:szCs w:val="24"/>
        </w:rPr>
      </w:pPr>
    </w:p>
    <w:p w:rsidR="00407F88" w:rsidRPr="00545DC3" w:rsidRDefault="00407F88" w:rsidP="004247A2">
      <w:pPr>
        <w:spacing w:after="0" w:line="240" w:lineRule="atLeast"/>
        <w:jc w:val="both"/>
        <w:rPr>
          <w:rFonts w:ascii="Times New Roman" w:hAnsi="Times New Roman"/>
          <w:b/>
          <w:sz w:val="24"/>
          <w:szCs w:val="24"/>
        </w:rPr>
      </w:pPr>
      <w:r w:rsidRPr="00545DC3">
        <w:rPr>
          <w:rFonts w:ascii="Times New Roman" w:hAnsi="Times New Roman"/>
          <w:b/>
          <w:sz w:val="24"/>
          <w:szCs w:val="24"/>
        </w:rPr>
        <w:t>Art.</w:t>
      </w:r>
      <w:r w:rsidR="00773F76">
        <w:rPr>
          <w:rFonts w:ascii="Times New Roman" w:hAnsi="Times New Roman"/>
          <w:b/>
          <w:sz w:val="24"/>
          <w:szCs w:val="24"/>
        </w:rPr>
        <w:t xml:space="preserve"> </w:t>
      </w:r>
      <w:r w:rsidRPr="00545DC3">
        <w:rPr>
          <w:rFonts w:ascii="Times New Roman" w:hAnsi="Times New Roman"/>
          <w:b/>
          <w:sz w:val="24"/>
          <w:szCs w:val="24"/>
        </w:rPr>
        <w:t>5 -Valore dell'appalto</w:t>
      </w:r>
    </w:p>
    <w:p w:rsidR="0012591D" w:rsidRPr="00F25621" w:rsidRDefault="0012591D" w:rsidP="0012591D">
      <w:pPr>
        <w:autoSpaceDE w:val="0"/>
        <w:autoSpaceDN w:val="0"/>
        <w:adjustRightInd w:val="0"/>
        <w:spacing w:after="0" w:line="240" w:lineRule="auto"/>
        <w:jc w:val="both"/>
        <w:rPr>
          <w:rFonts w:ascii="Times New Roman" w:hAnsi="Times New Roman"/>
          <w:sz w:val="24"/>
          <w:szCs w:val="24"/>
        </w:rPr>
      </w:pPr>
      <w:r w:rsidRPr="005A2A3E">
        <w:rPr>
          <w:rFonts w:ascii="Times New Roman" w:hAnsi="Times New Roman"/>
          <w:color w:val="000000"/>
          <w:sz w:val="24"/>
          <w:szCs w:val="24"/>
        </w:rPr>
        <w:t xml:space="preserve">L'importo presunto stimato dell'appalto per l'intero periodo, </w:t>
      </w:r>
      <w:r w:rsidRPr="005A2A3E">
        <w:rPr>
          <w:rFonts w:ascii="Times New Roman" w:hAnsi="Times New Roman"/>
          <w:sz w:val="24"/>
          <w:szCs w:val="24"/>
        </w:rPr>
        <w:t>ai soli fini dell'individuazione della disciplina in materia di appalti di servizi</w:t>
      </w:r>
      <w:r w:rsidR="00E22C49">
        <w:rPr>
          <w:rFonts w:ascii="Times New Roman" w:hAnsi="Times New Roman"/>
          <w:sz w:val="24"/>
          <w:szCs w:val="24"/>
        </w:rPr>
        <w:t xml:space="preserve">, è pari ad </w:t>
      </w:r>
      <w:r w:rsidR="00F25621">
        <w:rPr>
          <w:rFonts w:ascii="Times New Roman" w:hAnsi="Times New Roman"/>
          <w:sz w:val="24"/>
          <w:szCs w:val="24"/>
        </w:rPr>
        <w:t>€.3</w:t>
      </w:r>
      <w:r w:rsidR="0045306E">
        <w:rPr>
          <w:rFonts w:ascii="Times New Roman" w:hAnsi="Times New Roman"/>
          <w:sz w:val="24"/>
          <w:szCs w:val="24"/>
        </w:rPr>
        <w:t>8.305,97</w:t>
      </w:r>
      <w:r w:rsidR="00F25621">
        <w:rPr>
          <w:rFonts w:ascii="Times New Roman" w:hAnsi="Times New Roman"/>
          <w:sz w:val="24"/>
          <w:szCs w:val="24"/>
        </w:rPr>
        <w:t>=</w:t>
      </w:r>
      <w:r w:rsidR="00F746B6">
        <w:rPr>
          <w:rFonts w:ascii="Times New Roman" w:hAnsi="Times New Roman"/>
          <w:sz w:val="24"/>
          <w:szCs w:val="24"/>
        </w:rPr>
        <w:t xml:space="preserve"> (di cui €.34.475,37= per il triennio di durata dell’appalto ed €.3.830,60= per l’eventuale periodo di proroga di quattro mesi)</w:t>
      </w:r>
      <w:r w:rsidR="00F25621">
        <w:rPr>
          <w:rFonts w:ascii="Times New Roman" w:hAnsi="Times New Roman"/>
          <w:sz w:val="24"/>
          <w:szCs w:val="24"/>
        </w:rPr>
        <w:t xml:space="preserve">. </w:t>
      </w:r>
      <w:r w:rsidRPr="005A2A3E">
        <w:rPr>
          <w:rFonts w:ascii="Times New Roman" w:hAnsi="Times New Roman"/>
          <w:color w:val="000000"/>
          <w:sz w:val="24"/>
          <w:szCs w:val="24"/>
        </w:rPr>
        <w:t>L’importo di cui sopra è stato calcolato sulla base delle provv</w:t>
      </w:r>
      <w:r w:rsidR="005F69EE">
        <w:rPr>
          <w:rFonts w:ascii="Times New Roman" w:hAnsi="Times New Roman"/>
          <w:color w:val="000000"/>
          <w:sz w:val="24"/>
          <w:szCs w:val="24"/>
        </w:rPr>
        <w:t>ig</w:t>
      </w:r>
      <w:r w:rsidR="00774559">
        <w:rPr>
          <w:rFonts w:ascii="Times New Roman" w:hAnsi="Times New Roman"/>
          <w:color w:val="000000"/>
          <w:sz w:val="24"/>
          <w:szCs w:val="24"/>
        </w:rPr>
        <w:t>ioni maturate nell’ultimo tri</w:t>
      </w:r>
      <w:r w:rsidR="005F69EE">
        <w:rPr>
          <w:rFonts w:ascii="Times New Roman" w:hAnsi="Times New Roman"/>
          <w:color w:val="000000"/>
          <w:sz w:val="24"/>
          <w:szCs w:val="24"/>
        </w:rPr>
        <w:t>ennio</w:t>
      </w:r>
      <w:r w:rsidRPr="005A2A3E">
        <w:rPr>
          <w:rFonts w:ascii="Times New Roman" w:hAnsi="Times New Roman"/>
          <w:color w:val="000000"/>
          <w:sz w:val="24"/>
          <w:szCs w:val="24"/>
        </w:rPr>
        <w:t xml:space="preserve"> di servizio di brokeraggio relativamente alle coperture assicurative attualmente in corso, commisurate alla durata del servizio che si va ad affidare attraverso la presente procedura, </w:t>
      </w:r>
      <w:r w:rsidRPr="0045306E">
        <w:rPr>
          <w:rFonts w:ascii="Times New Roman" w:hAnsi="Times New Roman"/>
          <w:color w:val="000000"/>
          <w:sz w:val="24"/>
          <w:szCs w:val="24"/>
        </w:rPr>
        <w:t>comp</w:t>
      </w:r>
      <w:r w:rsidR="0045306E">
        <w:rPr>
          <w:rFonts w:ascii="Times New Roman" w:hAnsi="Times New Roman"/>
          <w:color w:val="000000"/>
          <w:sz w:val="24"/>
          <w:szCs w:val="24"/>
        </w:rPr>
        <w:t>rensiva</w:t>
      </w:r>
      <w:r w:rsidRPr="0045306E">
        <w:rPr>
          <w:rFonts w:ascii="Times New Roman" w:hAnsi="Times New Roman"/>
          <w:color w:val="000000"/>
          <w:sz w:val="24"/>
          <w:szCs w:val="24"/>
        </w:rPr>
        <w:t xml:space="preserve"> della eventuale proroga tecnic</w:t>
      </w:r>
      <w:r w:rsidR="0045306E">
        <w:rPr>
          <w:rFonts w:ascii="Times New Roman" w:hAnsi="Times New Roman"/>
          <w:color w:val="000000"/>
          <w:sz w:val="24"/>
          <w:szCs w:val="24"/>
        </w:rPr>
        <w:t>a, per il periodo massimo di quattro</w:t>
      </w:r>
      <w:r w:rsidRPr="0045306E">
        <w:rPr>
          <w:rFonts w:ascii="Times New Roman" w:hAnsi="Times New Roman"/>
          <w:color w:val="000000"/>
          <w:sz w:val="24"/>
          <w:szCs w:val="24"/>
        </w:rPr>
        <w:t xml:space="preserve"> mesi,</w:t>
      </w:r>
      <w:r w:rsidRPr="005A2A3E">
        <w:rPr>
          <w:rFonts w:ascii="Times New Roman" w:hAnsi="Times New Roman"/>
          <w:color w:val="000000"/>
          <w:sz w:val="24"/>
          <w:szCs w:val="24"/>
        </w:rPr>
        <w:t xml:space="preserve"> puramente allo scopo di dare una indicazione del valore dell’appalto.</w:t>
      </w:r>
      <w:r w:rsidR="00026348" w:rsidRPr="005A2A3E">
        <w:rPr>
          <w:rFonts w:ascii="Times New Roman" w:hAnsi="Times New Roman"/>
          <w:color w:val="000000"/>
          <w:sz w:val="24"/>
          <w:szCs w:val="24"/>
        </w:rPr>
        <w:t xml:space="preserve"> </w:t>
      </w:r>
    </w:p>
    <w:p w:rsidR="00026348" w:rsidRPr="00545DC3" w:rsidRDefault="00026348" w:rsidP="00026348">
      <w:pPr>
        <w:autoSpaceDE w:val="0"/>
        <w:autoSpaceDN w:val="0"/>
        <w:adjustRightInd w:val="0"/>
        <w:spacing w:after="0" w:line="240" w:lineRule="auto"/>
        <w:jc w:val="both"/>
        <w:rPr>
          <w:rFonts w:ascii="Times New Roman" w:hAnsi="Times New Roman"/>
          <w:color w:val="000000"/>
          <w:sz w:val="24"/>
          <w:szCs w:val="24"/>
        </w:rPr>
      </w:pPr>
      <w:r w:rsidRPr="005A2A3E">
        <w:rPr>
          <w:rFonts w:ascii="Times New Roman" w:hAnsi="Times New Roman"/>
          <w:color w:val="000000"/>
          <w:sz w:val="24"/>
          <w:szCs w:val="24"/>
        </w:rPr>
        <w:t>Elenco polizze e importi di premio</w:t>
      </w:r>
      <w:r w:rsidR="00E22C49">
        <w:rPr>
          <w:rFonts w:ascii="Times New Roman" w:hAnsi="Times New Roman"/>
          <w:color w:val="000000"/>
          <w:sz w:val="24"/>
          <w:szCs w:val="24"/>
        </w:rPr>
        <w:t>:</w:t>
      </w:r>
    </w:p>
    <w:p w:rsidR="00026348" w:rsidRPr="00545DC3" w:rsidRDefault="00026348" w:rsidP="00026348">
      <w:pPr>
        <w:autoSpaceDE w:val="0"/>
        <w:autoSpaceDN w:val="0"/>
        <w:adjustRightInd w:val="0"/>
        <w:spacing w:after="0" w:line="240" w:lineRule="auto"/>
        <w:jc w:val="both"/>
        <w:rPr>
          <w:rFonts w:ascii="Times New Roman" w:hAnsi="Times New Roman"/>
          <w:color w:val="00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1418"/>
        <w:gridCol w:w="2126"/>
        <w:gridCol w:w="709"/>
      </w:tblGrid>
      <w:tr w:rsidR="00524630" w:rsidRPr="00545DC3" w:rsidTr="00524630">
        <w:trPr>
          <w:trHeight w:val="255"/>
        </w:trPr>
        <w:tc>
          <w:tcPr>
            <w:tcW w:w="2972" w:type="dxa"/>
            <w:noWrap/>
            <w:hideMark/>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sidRPr="00545DC3">
              <w:rPr>
                <w:rFonts w:ascii="Times New Roman" w:hAnsi="Times New Roman"/>
                <w:b/>
                <w:color w:val="000000"/>
                <w:sz w:val="24"/>
                <w:szCs w:val="24"/>
              </w:rPr>
              <w:t>RAMO</w:t>
            </w:r>
          </w:p>
        </w:tc>
        <w:tc>
          <w:tcPr>
            <w:tcW w:w="2835" w:type="dxa"/>
          </w:tcPr>
          <w:p w:rsidR="00026348" w:rsidRPr="00545DC3" w:rsidRDefault="005F69EE"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C</w:t>
            </w:r>
            <w:r w:rsidR="00026348" w:rsidRPr="00545DC3">
              <w:rPr>
                <w:rFonts w:ascii="Times New Roman" w:hAnsi="Times New Roman"/>
                <w:b/>
                <w:color w:val="000000"/>
                <w:sz w:val="24"/>
                <w:szCs w:val="24"/>
              </w:rPr>
              <w:t>ompagnia</w:t>
            </w:r>
          </w:p>
        </w:tc>
        <w:tc>
          <w:tcPr>
            <w:tcW w:w="1418" w:type="dxa"/>
          </w:tcPr>
          <w:p w:rsidR="00026348" w:rsidRPr="00545DC3" w:rsidRDefault="005F69EE"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S</w:t>
            </w:r>
            <w:r w:rsidR="00026348" w:rsidRPr="00545DC3">
              <w:rPr>
                <w:rFonts w:ascii="Times New Roman" w:hAnsi="Times New Roman"/>
                <w:b/>
                <w:color w:val="000000"/>
                <w:sz w:val="24"/>
                <w:szCs w:val="24"/>
              </w:rPr>
              <w:t>cadenza</w:t>
            </w:r>
          </w:p>
        </w:tc>
        <w:tc>
          <w:tcPr>
            <w:tcW w:w="2126" w:type="dxa"/>
          </w:tcPr>
          <w:p w:rsidR="00E22C49" w:rsidRDefault="00026348"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sidRPr="00545DC3">
              <w:rPr>
                <w:rFonts w:ascii="Times New Roman" w:hAnsi="Times New Roman"/>
                <w:b/>
                <w:color w:val="000000"/>
                <w:sz w:val="24"/>
                <w:szCs w:val="24"/>
              </w:rPr>
              <w:t>Importo di premio</w:t>
            </w:r>
          </w:p>
          <w:p w:rsidR="00026348" w:rsidRPr="00545DC3" w:rsidRDefault="004D2DE8"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a</w:t>
            </w:r>
            <w:r w:rsidR="00E22C49">
              <w:rPr>
                <w:rFonts w:ascii="Times New Roman" w:hAnsi="Times New Roman"/>
                <w:b/>
                <w:color w:val="000000"/>
                <w:sz w:val="24"/>
                <w:szCs w:val="24"/>
              </w:rPr>
              <w:t>nnuo</w:t>
            </w:r>
            <w:r w:rsidR="00026348" w:rsidRPr="00545DC3">
              <w:rPr>
                <w:rFonts w:ascii="Times New Roman" w:hAnsi="Times New Roman"/>
                <w:b/>
                <w:color w:val="000000"/>
                <w:sz w:val="24"/>
                <w:szCs w:val="24"/>
              </w:rPr>
              <w:t xml:space="preserve"> lordo</w:t>
            </w:r>
          </w:p>
        </w:tc>
        <w:tc>
          <w:tcPr>
            <w:tcW w:w="709" w:type="dxa"/>
          </w:tcPr>
          <w:p w:rsidR="00026348" w:rsidRPr="00545DC3" w:rsidRDefault="005F69EE" w:rsidP="00E22C49">
            <w:pPr>
              <w:tabs>
                <w:tab w:val="center" w:pos="4819"/>
                <w:tab w:val="right" w:pos="9638"/>
              </w:tabs>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N</w:t>
            </w:r>
            <w:r w:rsidR="00026348" w:rsidRPr="00545DC3">
              <w:rPr>
                <w:rFonts w:ascii="Times New Roman" w:hAnsi="Times New Roman"/>
                <w:b/>
                <w:color w:val="000000"/>
                <w:sz w:val="24"/>
                <w:szCs w:val="24"/>
              </w:rPr>
              <w:t>ote</w:t>
            </w:r>
          </w:p>
        </w:tc>
      </w:tr>
      <w:tr w:rsidR="00524630" w:rsidRPr="00545DC3" w:rsidTr="00524630">
        <w:trPr>
          <w:trHeight w:val="255"/>
        </w:trPr>
        <w:tc>
          <w:tcPr>
            <w:tcW w:w="2972" w:type="dxa"/>
            <w:noWrap/>
          </w:tcPr>
          <w:p w:rsidR="00026348" w:rsidRPr="00E22C49" w:rsidRDefault="00E22C49" w:rsidP="00E22C49">
            <w:pPr>
              <w:tabs>
                <w:tab w:val="center" w:pos="4819"/>
                <w:tab w:val="right" w:pos="9638"/>
              </w:tabs>
              <w:autoSpaceDE w:val="0"/>
              <w:autoSpaceDN w:val="0"/>
              <w:adjustRightInd w:val="0"/>
              <w:spacing w:after="0"/>
              <w:rPr>
                <w:rFonts w:ascii="Times New Roman" w:hAnsi="Times New Roman"/>
                <w:color w:val="000000"/>
              </w:rPr>
            </w:pPr>
            <w:r w:rsidRPr="00E22C49">
              <w:rPr>
                <w:rFonts w:ascii="Times New Roman" w:hAnsi="Times New Roman"/>
                <w:color w:val="000000"/>
              </w:rPr>
              <w:t xml:space="preserve">CVT </w:t>
            </w:r>
            <w:r>
              <w:rPr>
                <w:rFonts w:ascii="Times New Roman" w:hAnsi="Times New Roman"/>
                <w:color w:val="000000"/>
              </w:rPr>
              <w:t>-</w:t>
            </w:r>
            <w:r w:rsidRPr="00E22C49">
              <w:rPr>
                <w:rFonts w:ascii="Times New Roman" w:hAnsi="Times New Roman"/>
                <w:color w:val="000000"/>
              </w:rPr>
              <w:t xml:space="preserve"> Corpo Veicoli Terrestri</w:t>
            </w:r>
          </w:p>
        </w:tc>
        <w:tc>
          <w:tcPr>
            <w:tcW w:w="2835" w:type="dxa"/>
          </w:tcPr>
          <w:p w:rsidR="00026348" w:rsidRPr="00545DC3" w:rsidRDefault="00E22C49" w:rsidP="00E22C49">
            <w:pPr>
              <w:tabs>
                <w:tab w:val="center" w:pos="4819"/>
                <w:tab w:val="right" w:pos="963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AIG Europe </w:t>
            </w:r>
            <w:r w:rsidR="00126430">
              <w:rPr>
                <w:rFonts w:ascii="Times New Roman" w:hAnsi="Times New Roman"/>
                <w:color w:val="000000"/>
                <w:sz w:val="24"/>
                <w:szCs w:val="24"/>
              </w:rPr>
              <w:t>Limited</w:t>
            </w:r>
          </w:p>
        </w:tc>
        <w:tc>
          <w:tcPr>
            <w:tcW w:w="1418" w:type="dxa"/>
          </w:tcPr>
          <w:p w:rsidR="00026348" w:rsidRPr="00545DC3" w:rsidRDefault="00E22C49" w:rsidP="00E22C49">
            <w:pPr>
              <w:tabs>
                <w:tab w:val="center" w:pos="4819"/>
                <w:tab w:val="right" w:pos="963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E22C49"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€.1.600,00</w:t>
            </w:r>
            <w:r w:rsidR="00126430">
              <w:rPr>
                <w:rFonts w:ascii="Times New Roman" w:hAnsi="Times New Roman"/>
                <w:color w:val="000000"/>
                <w:sz w:val="24"/>
                <w:szCs w:val="24"/>
              </w:rPr>
              <w:t>=</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524630" w:rsidRPr="00545DC3" w:rsidTr="00524630">
        <w:trPr>
          <w:trHeight w:val="255"/>
        </w:trPr>
        <w:tc>
          <w:tcPr>
            <w:tcW w:w="2972" w:type="dxa"/>
            <w:noWrap/>
          </w:tcPr>
          <w:p w:rsidR="00026348" w:rsidRPr="00545DC3" w:rsidRDefault="00126430" w:rsidP="00EE5CFD">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All Risks </w:t>
            </w:r>
            <w:r w:rsidR="00EF3501">
              <w:rPr>
                <w:rFonts w:ascii="Times New Roman" w:hAnsi="Times New Roman"/>
                <w:color w:val="000000"/>
                <w:sz w:val="24"/>
                <w:szCs w:val="24"/>
              </w:rPr>
              <w:t xml:space="preserve">Patrimonio </w:t>
            </w:r>
          </w:p>
        </w:tc>
        <w:tc>
          <w:tcPr>
            <w:tcW w:w="2835" w:type="dxa"/>
          </w:tcPr>
          <w:p w:rsidR="00026348" w:rsidRPr="00545DC3" w:rsidRDefault="003000B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HDI Assicurazioni S.p.A.</w:t>
            </w:r>
          </w:p>
        </w:tc>
        <w:tc>
          <w:tcPr>
            <w:tcW w:w="1418" w:type="dxa"/>
          </w:tcPr>
          <w:p w:rsidR="00026348" w:rsidRPr="00545DC3" w:rsidRDefault="003000B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3000BC" w:rsidP="00EE5CFD">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€.5</w:t>
            </w:r>
            <w:r w:rsidR="00EE5CFD">
              <w:rPr>
                <w:rFonts w:ascii="Times New Roman" w:hAnsi="Times New Roman"/>
                <w:color w:val="000000"/>
                <w:sz w:val="24"/>
                <w:szCs w:val="24"/>
              </w:rPr>
              <w:t>8.598,00</w:t>
            </w:r>
            <w:r>
              <w:rPr>
                <w:rFonts w:ascii="Times New Roman" w:hAnsi="Times New Roman"/>
                <w:color w:val="000000"/>
                <w:sz w:val="24"/>
                <w:szCs w:val="24"/>
              </w:rPr>
              <w:t>=</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524630" w:rsidRPr="00545DC3" w:rsidTr="00524630">
        <w:trPr>
          <w:trHeight w:val="255"/>
        </w:trPr>
        <w:tc>
          <w:tcPr>
            <w:tcW w:w="2972" w:type="dxa"/>
            <w:noWrap/>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R.C. Patrimoniale</w:t>
            </w:r>
          </w:p>
        </w:tc>
        <w:tc>
          <w:tcPr>
            <w:tcW w:w="2835"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AIG Europe Limited</w:t>
            </w:r>
          </w:p>
        </w:tc>
        <w:tc>
          <w:tcPr>
            <w:tcW w:w="1418"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€.8.889,00=</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524630" w:rsidRPr="00545DC3" w:rsidTr="00524630">
        <w:trPr>
          <w:trHeight w:val="255"/>
        </w:trPr>
        <w:tc>
          <w:tcPr>
            <w:tcW w:w="2972" w:type="dxa"/>
            <w:noWrap/>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Tutela legale</w:t>
            </w:r>
          </w:p>
        </w:tc>
        <w:tc>
          <w:tcPr>
            <w:tcW w:w="2835"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AIG Europe Limited</w:t>
            </w:r>
          </w:p>
        </w:tc>
        <w:tc>
          <w:tcPr>
            <w:tcW w:w="1418"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E97753"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€.13.689,00=</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524630" w:rsidRPr="00545DC3" w:rsidTr="00524630">
        <w:trPr>
          <w:trHeight w:val="255"/>
        </w:trPr>
        <w:tc>
          <w:tcPr>
            <w:tcW w:w="2972" w:type="dxa"/>
            <w:noWrap/>
          </w:tcPr>
          <w:p w:rsidR="00026348" w:rsidRPr="00545DC3" w:rsidRDefault="005B4D4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Infortuni cumulativa</w:t>
            </w:r>
          </w:p>
        </w:tc>
        <w:tc>
          <w:tcPr>
            <w:tcW w:w="2835" w:type="dxa"/>
          </w:tcPr>
          <w:p w:rsidR="00026348" w:rsidRPr="00545DC3" w:rsidRDefault="005B4D4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ITAS Assicurazioni</w:t>
            </w:r>
          </w:p>
        </w:tc>
        <w:tc>
          <w:tcPr>
            <w:tcW w:w="1418" w:type="dxa"/>
          </w:tcPr>
          <w:p w:rsidR="00026348" w:rsidRPr="00545DC3" w:rsidRDefault="005B4D4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5B4D4C"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€.6.665,00=</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524630" w:rsidRPr="00545DC3" w:rsidTr="00524630">
        <w:trPr>
          <w:trHeight w:val="255"/>
        </w:trPr>
        <w:tc>
          <w:tcPr>
            <w:tcW w:w="2972" w:type="dxa"/>
            <w:noWrap/>
          </w:tcPr>
          <w:p w:rsidR="00026348" w:rsidRPr="00545DC3" w:rsidRDefault="00524630"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All Risks Opere d’arte</w:t>
            </w:r>
          </w:p>
        </w:tc>
        <w:tc>
          <w:tcPr>
            <w:tcW w:w="2835" w:type="dxa"/>
          </w:tcPr>
          <w:p w:rsidR="00026348" w:rsidRPr="00545DC3" w:rsidRDefault="00524630"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AXA Art Versicherung AG</w:t>
            </w:r>
          </w:p>
        </w:tc>
        <w:tc>
          <w:tcPr>
            <w:tcW w:w="1418" w:type="dxa"/>
          </w:tcPr>
          <w:p w:rsidR="00026348" w:rsidRPr="00545DC3" w:rsidRDefault="00E22DE1"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026348" w:rsidRPr="00545DC3" w:rsidRDefault="00E22DE1"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€.5.250,00=</w:t>
            </w:r>
          </w:p>
        </w:tc>
        <w:tc>
          <w:tcPr>
            <w:tcW w:w="709" w:type="dxa"/>
          </w:tcPr>
          <w:p w:rsidR="00026348" w:rsidRPr="00545DC3" w:rsidRDefault="00026348" w:rsidP="00E22C49">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E22DE1" w:rsidRPr="00545DC3" w:rsidTr="00524630">
        <w:trPr>
          <w:trHeight w:val="255"/>
        </w:trPr>
        <w:tc>
          <w:tcPr>
            <w:tcW w:w="2972" w:type="dxa"/>
            <w:noWrap/>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RCA/ARD a libro matricola</w:t>
            </w:r>
          </w:p>
        </w:tc>
        <w:tc>
          <w:tcPr>
            <w:tcW w:w="2835" w:type="dxa"/>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Allianz S.p.A. </w:t>
            </w:r>
          </w:p>
        </w:tc>
        <w:tc>
          <w:tcPr>
            <w:tcW w:w="1418" w:type="dxa"/>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€.12.726,18=</w:t>
            </w:r>
          </w:p>
        </w:tc>
        <w:tc>
          <w:tcPr>
            <w:tcW w:w="709" w:type="dxa"/>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E22DE1" w:rsidRPr="00545DC3" w:rsidTr="00524630">
        <w:trPr>
          <w:trHeight w:val="255"/>
        </w:trPr>
        <w:tc>
          <w:tcPr>
            <w:tcW w:w="2972" w:type="dxa"/>
            <w:noWrap/>
          </w:tcPr>
          <w:p w:rsidR="00E22DE1"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R.C.T./O.</w:t>
            </w:r>
          </w:p>
        </w:tc>
        <w:tc>
          <w:tcPr>
            <w:tcW w:w="2835" w:type="dxa"/>
          </w:tcPr>
          <w:p w:rsidR="00E22DE1"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Lloyd’s - QBE</w:t>
            </w:r>
          </w:p>
        </w:tc>
        <w:tc>
          <w:tcPr>
            <w:tcW w:w="1418" w:type="dxa"/>
          </w:tcPr>
          <w:p w:rsidR="00E22DE1"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30/06/2020</w:t>
            </w:r>
          </w:p>
        </w:tc>
        <w:tc>
          <w:tcPr>
            <w:tcW w:w="2126" w:type="dxa"/>
          </w:tcPr>
          <w:p w:rsidR="00E22DE1"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€.199</w:t>
            </w:r>
            <w:r w:rsidR="00CE4F25">
              <w:rPr>
                <w:rFonts w:ascii="Times New Roman" w:hAnsi="Times New Roman"/>
                <w:color w:val="000000"/>
                <w:sz w:val="24"/>
                <w:szCs w:val="24"/>
              </w:rPr>
              <w:t>.375,00=</w:t>
            </w:r>
          </w:p>
        </w:tc>
        <w:tc>
          <w:tcPr>
            <w:tcW w:w="709" w:type="dxa"/>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p>
        </w:tc>
      </w:tr>
      <w:tr w:rsidR="00E22DE1" w:rsidRPr="00545DC3" w:rsidTr="00524630">
        <w:trPr>
          <w:trHeight w:val="255"/>
        </w:trPr>
        <w:tc>
          <w:tcPr>
            <w:tcW w:w="2972" w:type="dxa"/>
            <w:noWrap/>
          </w:tcPr>
          <w:p w:rsidR="00E22DE1" w:rsidRPr="00545DC3" w:rsidRDefault="00E22DE1" w:rsidP="00E22DE1">
            <w:pPr>
              <w:tabs>
                <w:tab w:val="center" w:pos="4819"/>
                <w:tab w:val="right" w:pos="9638"/>
              </w:tabs>
              <w:autoSpaceDE w:val="0"/>
              <w:autoSpaceDN w:val="0"/>
              <w:adjustRightInd w:val="0"/>
              <w:spacing w:after="0"/>
              <w:jc w:val="both"/>
              <w:rPr>
                <w:rFonts w:ascii="Times New Roman" w:hAnsi="Times New Roman"/>
                <w:color w:val="000000"/>
                <w:sz w:val="24"/>
                <w:szCs w:val="24"/>
              </w:rPr>
            </w:pPr>
          </w:p>
        </w:tc>
        <w:tc>
          <w:tcPr>
            <w:tcW w:w="2835" w:type="dxa"/>
          </w:tcPr>
          <w:p w:rsidR="00E22DE1" w:rsidRPr="00545DC3" w:rsidRDefault="00E22DE1" w:rsidP="00E22DE1">
            <w:pPr>
              <w:tabs>
                <w:tab w:val="center" w:pos="4819"/>
                <w:tab w:val="right" w:pos="9638"/>
              </w:tabs>
              <w:autoSpaceDE w:val="0"/>
              <w:autoSpaceDN w:val="0"/>
              <w:adjustRightInd w:val="0"/>
              <w:jc w:val="both"/>
              <w:rPr>
                <w:rFonts w:ascii="Times New Roman" w:hAnsi="Times New Roman"/>
                <w:color w:val="000000"/>
                <w:sz w:val="24"/>
                <w:szCs w:val="24"/>
              </w:rPr>
            </w:pPr>
          </w:p>
        </w:tc>
        <w:tc>
          <w:tcPr>
            <w:tcW w:w="1418" w:type="dxa"/>
          </w:tcPr>
          <w:p w:rsidR="00E22DE1" w:rsidRPr="00CE4F25" w:rsidRDefault="00E22DE1" w:rsidP="00E22DE1">
            <w:pPr>
              <w:tabs>
                <w:tab w:val="center" w:pos="4819"/>
                <w:tab w:val="right" w:pos="9638"/>
              </w:tabs>
              <w:autoSpaceDE w:val="0"/>
              <w:autoSpaceDN w:val="0"/>
              <w:adjustRightInd w:val="0"/>
              <w:jc w:val="both"/>
              <w:rPr>
                <w:rFonts w:ascii="Times New Roman" w:hAnsi="Times New Roman"/>
                <w:b/>
                <w:color w:val="000000"/>
                <w:sz w:val="24"/>
                <w:szCs w:val="24"/>
              </w:rPr>
            </w:pPr>
            <w:r w:rsidRPr="00CE4F25">
              <w:rPr>
                <w:rFonts w:ascii="Times New Roman" w:hAnsi="Times New Roman"/>
                <w:b/>
                <w:color w:val="000000"/>
                <w:sz w:val="24"/>
                <w:szCs w:val="24"/>
              </w:rPr>
              <w:t>TOTALE</w:t>
            </w:r>
          </w:p>
        </w:tc>
        <w:tc>
          <w:tcPr>
            <w:tcW w:w="2126" w:type="dxa"/>
          </w:tcPr>
          <w:p w:rsidR="00E22DE1" w:rsidRPr="00545DC3" w:rsidRDefault="00CE4F25" w:rsidP="00E22DE1">
            <w:pPr>
              <w:tabs>
                <w:tab w:val="center" w:pos="4819"/>
                <w:tab w:val="right" w:pos="9638"/>
              </w:tabs>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€.306.792,18=</w:t>
            </w:r>
          </w:p>
        </w:tc>
        <w:tc>
          <w:tcPr>
            <w:tcW w:w="709" w:type="dxa"/>
          </w:tcPr>
          <w:p w:rsidR="00E22DE1" w:rsidRPr="00545DC3" w:rsidRDefault="00E22DE1" w:rsidP="00E22DE1">
            <w:pPr>
              <w:tabs>
                <w:tab w:val="center" w:pos="4819"/>
                <w:tab w:val="right" w:pos="9638"/>
              </w:tabs>
              <w:autoSpaceDE w:val="0"/>
              <w:autoSpaceDN w:val="0"/>
              <w:adjustRightInd w:val="0"/>
              <w:jc w:val="both"/>
              <w:rPr>
                <w:rFonts w:ascii="Times New Roman" w:hAnsi="Times New Roman"/>
                <w:color w:val="000000"/>
                <w:sz w:val="24"/>
                <w:szCs w:val="24"/>
              </w:rPr>
            </w:pPr>
          </w:p>
        </w:tc>
      </w:tr>
    </w:tbl>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lastRenderedPageBreak/>
        <w:t>ART.</w:t>
      </w:r>
      <w:r w:rsidR="00773F76">
        <w:rPr>
          <w:rFonts w:ascii="Times New Roman" w:hAnsi="Times New Roman"/>
          <w:b/>
          <w:sz w:val="24"/>
          <w:szCs w:val="24"/>
        </w:rPr>
        <w:t xml:space="preserve"> </w:t>
      </w:r>
      <w:r w:rsidRPr="00545DC3">
        <w:rPr>
          <w:rFonts w:ascii="Times New Roman" w:hAnsi="Times New Roman"/>
          <w:b/>
          <w:sz w:val="24"/>
          <w:szCs w:val="24"/>
        </w:rPr>
        <w:t>6 - OBBLIGHI DEL BROKER AGGIUDICATARIO</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broker aggiudicatario, nell'espletamento dell'incarico, non assumerà alcun compito di direzione e coordinamento nei confronti degli uffici del Comune né potrà impegnare l'ente medesimo se non preventivamente autorizzato.</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broker deve garantire in ogni momento la trasparenza dei rapporti con la compagnia/e di assicurazione obbligandosi a mettere a disposizione del Comune ogni documentazione relativa alla gestione del rapporto assicurativo.</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w:t>
      </w:r>
      <w:r w:rsidRPr="00545DC3">
        <w:rPr>
          <w:rFonts w:ascii="Times New Roman" w:hAnsi="Times New Roman"/>
          <w:sz w:val="24"/>
          <w:szCs w:val="24"/>
        </w:rPr>
        <w:tab/>
        <w:t>Il broker deve garantire il rispetto degli scopi perseguiti dal Comune assicurando la tutela degli interessi dello stesso.</w:t>
      </w:r>
    </w:p>
    <w:p w:rsidR="00407F88" w:rsidRPr="005A2A3E"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w:t>
      </w:r>
      <w:r w:rsidRPr="00545DC3">
        <w:rPr>
          <w:rFonts w:ascii="Times New Roman" w:hAnsi="Times New Roman"/>
          <w:sz w:val="24"/>
          <w:szCs w:val="24"/>
        </w:rPr>
        <w:tab/>
        <w:t xml:space="preserve">Nell'espletamento </w:t>
      </w:r>
      <w:r w:rsidRPr="005A2A3E">
        <w:rPr>
          <w:rFonts w:ascii="Times New Roman" w:hAnsi="Times New Roman"/>
          <w:sz w:val="24"/>
          <w:szCs w:val="24"/>
        </w:rPr>
        <w:t>dell'incarico il broker dovrà seguire quanto indicato nel presente capitolato e dallo stesso proposto con il "piano operativo", presentato in sede di gara come indicato nel successivo articolo 10), fatte salve le diverse indicazioni da parte dei competenti uffici dell'ente. In caso di inadempimento agli obblighi contrattuali il Comune, fatta salva ogni altra azione a tutela dei propri interessi, compreso il diritto di chiedere il risarcimento del danno, potrà revocare l'incarico.</w:t>
      </w:r>
    </w:p>
    <w:p w:rsidR="00407F88" w:rsidRPr="00354790" w:rsidRDefault="00407F88" w:rsidP="00E90CEE">
      <w:pPr>
        <w:spacing w:after="0" w:line="240" w:lineRule="atLeast"/>
        <w:ind w:left="284" w:hanging="284"/>
        <w:jc w:val="both"/>
        <w:rPr>
          <w:rFonts w:ascii="Times New Roman" w:hAnsi="Times New Roman"/>
          <w:sz w:val="24"/>
          <w:szCs w:val="24"/>
        </w:rPr>
      </w:pPr>
      <w:r w:rsidRPr="005A2A3E">
        <w:rPr>
          <w:rFonts w:ascii="Times New Roman" w:hAnsi="Times New Roman"/>
          <w:sz w:val="24"/>
          <w:szCs w:val="24"/>
        </w:rPr>
        <w:t>•</w:t>
      </w:r>
      <w:r w:rsidRPr="005A2A3E">
        <w:rPr>
          <w:rFonts w:ascii="Times New Roman" w:hAnsi="Times New Roman"/>
          <w:sz w:val="24"/>
          <w:szCs w:val="24"/>
        </w:rPr>
        <w:tab/>
        <w:t>II broker aggiudicatario dovrà adempiere</w:t>
      </w:r>
      <w:r w:rsidRPr="00354790">
        <w:rPr>
          <w:rFonts w:ascii="Times New Roman" w:hAnsi="Times New Roman"/>
          <w:sz w:val="24"/>
          <w:szCs w:val="24"/>
        </w:rPr>
        <w:t xml:space="preserve"> entro 60 giorni dall'affidamento, all'obbligo di presentazione della relazione tecnica meglio descritta all'art. 2 punto b) del presente capitolato.</w:t>
      </w:r>
    </w:p>
    <w:p w:rsidR="00407F88" w:rsidRPr="00354790" w:rsidRDefault="00407F88" w:rsidP="00E90CEE">
      <w:pPr>
        <w:spacing w:after="0" w:line="240" w:lineRule="atLeast"/>
        <w:ind w:left="284" w:hanging="284"/>
        <w:jc w:val="both"/>
        <w:rPr>
          <w:rFonts w:ascii="Times New Roman" w:hAnsi="Times New Roman"/>
          <w:sz w:val="24"/>
          <w:szCs w:val="24"/>
        </w:rPr>
      </w:pPr>
      <w:r w:rsidRPr="00354790">
        <w:rPr>
          <w:rFonts w:ascii="Times New Roman" w:hAnsi="Times New Roman"/>
          <w:sz w:val="24"/>
          <w:szCs w:val="24"/>
        </w:rPr>
        <w:t>•</w:t>
      </w:r>
      <w:r w:rsidRPr="00354790">
        <w:rPr>
          <w:rFonts w:ascii="Times New Roman" w:hAnsi="Times New Roman"/>
          <w:sz w:val="24"/>
          <w:szCs w:val="24"/>
        </w:rPr>
        <w:tab/>
        <w:t>Il broker dovrà comunque garantire le seguenti attività:</w:t>
      </w:r>
    </w:p>
    <w:p w:rsidR="00407F88" w:rsidRPr="00545DC3" w:rsidRDefault="00407F88" w:rsidP="00E90CEE">
      <w:pPr>
        <w:spacing w:after="0" w:line="240" w:lineRule="atLeast"/>
        <w:ind w:left="284" w:hanging="284"/>
        <w:jc w:val="both"/>
        <w:rPr>
          <w:rFonts w:ascii="Times New Roman" w:hAnsi="Times New Roman"/>
          <w:sz w:val="24"/>
          <w:szCs w:val="24"/>
        </w:rPr>
      </w:pPr>
      <w:r w:rsidRPr="00354790">
        <w:rPr>
          <w:rFonts w:ascii="Times New Roman" w:hAnsi="Times New Roman"/>
          <w:sz w:val="24"/>
          <w:szCs w:val="24"/>
        </w:rPr>
        <w:t>a) invio al competente Ufficio comunale degli avvisi di scadenza con notifica degli importi esatti da co</w:t>
      </w:r>
      <w:r w:rsidR="00FB11AC">
        <w:rPr>
          <w:rFonts w:ascii="Times New Roman" w:hAnsi="Times New Roman"/>
          <w:sz w:val="24"/>
          <w:szCs w:val="24"/>
        </w:rPr>
        <w:t>rrispondere, con almeno sessanta</w:t>
      </w:r>
      <w:r w:rsidRPr="00354790">
        <w:rPr>
          <w:rFonts w:ascii="Times New Roman" w:hAnsi="Times New Roman"/>
          <w:sz w:val="24"/>
          <w:szCs w:val="24"/>
        </w:rPr>
        <w:t xml:space="preserve"> giorni di anticipo; pagamento dei premi relativi ai contratti assicurativi stipulati, prorogati e/o rinegoziati a partire dalla data di conferimento dell'incarico, che avverrà esclusivamente per il tramite del broker; resta</w:t>
      </w:r>
      <w:r w:rsidRPr="00545DC3">
        <w:rPr>
          <w:rFonts w:ascii="Times New Roman" w:hAnsi="Times New Roman"/>
          <w:sz w:val="24"/>
          <w:szCs w:val="24"/>
        </w:rPr>
        <w:t xml:space="preserve"> inteso a favore dei contraenti la piena efficacia liberatoria - anche ai termini dell'art. 1901 c.c. "mancato pagamento del premio" - del pagamento così effettuato;</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b) richiesta, con almeno trenta giorni di anticipo, di comunicazione di ogni elemento variabile previsto dalle varie polizze assicurative (ammontare retribuzioni corrisposte al personale dipendente, numero degli amministratori in carica ecc....) in fase di regolazione premio;</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c) copertura automatica dei rischi, previa autorizzazione scritta della stazione appaltante, anche precedentemente all'effettuazione del pagamento;</w:t>
      </w:r>
    </w:p>
    <w:p w:rsidR="00407F88" w:rsidRPr="00354790"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 xml:space="preserve">d) disponibilità di un collaboratore professionalmente adeguato a presenziare, qualora necessario, alle riunioni con il </w:t>
      </w:r>
      <w:r w:rsidRPr="00354790">
        <w:rPr>
          <w:rFonts w:ascii="Times New Roman" w:hAnsi="Times New Roman"/>
          <w:sz w:val="24"/>
          <w:szCs w:val="24"/>
        </w:rPr>
        <w:t>personale comunale allo scopo di illustrare i tratti essenziali del programma assicurativo della stazione appaltante e della sua razionale gestione tecnica nonché le caratteristiche peculiari delle polizze assicurative da stipulare ex novo tramite apposita gara;</w:t>
      </w:r>
    </w:p>
    <w:p w:rsidR="00407F88" w:rsidRPr="00354790" w:rsidRDefault="00354790" w:rsidP="00E90CEE">
      <w:pPr>
        <w:spacing w:after="0" w:line="240" w:lineRule="atLeast"/>
        <w:ind w:left="284" w:hanging="284"/>
        <w:jc w:val="both"/>
        <w:rPr>
          <w:rFonts w:ascii="Times New Roman" w:hAnsi="Times New Roman"/>
          <w:sz w:val="24"/>
          <w:szCs w:val="24"/>
        </w:rPr>
      </w:pPr>
      <w:r w:rsidRPr="00354790">
        <w:rPr>
          <w:rFonts w:ascii="Times New Roman" w:hAnsi="Times New Roman"/>
          <w:sz w:val="24"/>
          <w:szCs w:val="24"/>
        </w:rPr>
        <w:t>e) presa d'atto del sinistro e relativa</w:t>
      </w:r>
      <w:r w:rsidR="00407F88" w:rsidRPr="00354790">
        <w:rPr>
          <w:rFonts w:ascii="Times New Roman" w:hAnsi="Times New Roman"/>
          <w:sz w:val="24"/>
          <w:szCs w:val="24"/>
        </w:rPr>
        <w:t xml:space="preserve"> comunicazione di apertura della procedura </w:t>
      </w:r>
      <w:r w:rsidRPr="00354790">
        <w:rPr>
          <w:rFonts w:ascii="Times New Roman" w:hAnsi="Times New Roman"/>
          <w:sz w:val="24"/>
          <w:szCs w:val="24"/>
        </w:rPr>
        <w:t>presso la</w:t>
      </w:r>
      <w:r w:rsidR="00407F88" w:rsidRPr="00354790">
        <w:rPr>
          <w:rFonts w:ascii="Times New Roman" w:hAnsi="Times New Roman"/>
          <w:sz w:val="24"/>
          <w:szCs w:val="24"/>
        </w:rPr>
        <w:t xml:space="preserve"> Compagnia assicurativa interessata</w:t>
      </w:r>
      <w:r w:rsidRPr="00354790">
        <w:rPr>
          <w:rFonts w:ascii="Times New Roman" w:hAnsi="Times New Roman"/>
          <w:sz w:val="24"/>
          <w:szCs w:val="24"/>
        </w:rPr>
        <w:t xml:space="preserve"> qualora oggetto di copertura</w:t>
      </w:r>
      <w:r w:rsidR="00407F88" w:rsidRPr="00354790">
        <w:rPr>
          <w:rFonts w:ascii="Times New Roman" w:hAnsi="Times New Roman"/>
          <w:sz w:val="24"/>
          <w:szCs w:val="24"/>
        </w:rPr>
        <w:t>;</w:t>
      </w:r>
    </w:p>
    <w:p w:rsidR="00407F88" w:rsidRPr="00354790" w:rsidRDefault="00407F88" w:rsidP="00E90CEE">
      <w:pPr>
        <w:spacing w:after="0" w:line="240" w:lineRule="atLeast"/>
        <w:ind w:left="284" w:hanging="284"/>
        <w:jc w:val="both"/>
        <w:rPr>
          <w:rFonts w:ascii="Times New Roman" w:hAnsi="Times New Roman"/>
          <w:sz w:val="24"/>
          <w:szCs w:val="24"/>
        </w:rPr>
      </w:pPr>
      <w:r w:rsidRPr="00354790">
        <w:rPr>
          <w:rFonts w:ascii="Times New Roman" w:hAnsi="Times New Roman"/>
          <w:sz w:val="24"/>
          <w:szCs w:val="24"/>
        </w:rPr>
        <w:t>f) trattazione diretta della pratica con i periti incaricati dalla Compagnia e garanzia della presenza di un collaboratore professionalmente adeguato in caso di ispezioni tecniche e/o perizie da parte della Compagnia;</w:t>
      </w:r>
    </w:p>
    <w:p w:rsidR="00407F88" w:rsidRPr="00545DC3" w:rsidRDefault="00407F88" w:rsidP="00E90CEE">
      <w:pPr>
        <w:spacing w:after="0" w:line="240" w:lineRule="atLeast"/>
        <w:ind w:left="284" w:hanging="284"/>
        <w:jc w:val="both"/>
        <w:rPr>
          <w:rFonts w:ascii="Times New Roman" w:hAnsi="Times New Roman"/>
          <w:sz w:val="24"/>
          <w:szCs w:val="24"/>
        </w:rPr>
      </w:pPr>
      <w:r w:rsidRPr="00354790">
        <w:rPr>
          <w:rFonts w:ascii="Times New Roman" w:hAnsi="Times New Roman"/>
          <w:sz w:val="24"/>
          <w:szCs w:val="24"/>
        </w:rPr>
        <w:t>g) definizione dei termini di liquidazione con la Compagnia</w:t>
      </w:r>
      <w:r w:rsidRPr="00545DC3">
        <w:rPr>
          <w:rFonts w:ascii="Times New Roman" w:hAnsi="Times New Roman"/>
          <w:sz w:val="24"/>
          <w:szCs w:val="24"/>
        </w:rPr>
        <w:t xml:space="preserve"> e chiusura del sinistro nel minor tempo possibile;</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h) costante monitoraggio della situazione dei sinistri aperti, chiusi e a riserva, impostando una corretta gestione del rapporto sinistri/premi con le compagnie assicuratrici;</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i)</w:t>
      </w:r>
      <w:r w:rsidRPr="00545DC3">
        <w:rPr>
          <w:rFonts w:ascii="Times New Roman" w:hAnsi="Times New Roman"/>
          <w:sz w:val="24"/>
          <w:szCs w:val="24"/>
        </w:rPr>
        <w:tab/>
        <w:t xml:space="preserve">consulenza nell'analisi </w:t>
      </w:r>
      <w:r w:rsidR="001438BC">
        <w:rPr>
          <w:rFonts w:ascii="Times New Roman" w:hAnsi="Times New Roman"/>
          <w:sz w:val="24"/>
          <w:szCs w:val="24"/>
        </w:rPr>
        <w:t>dei sinistri non risarciti dalle</w:t>
      </w:r>
      <w:r w:rsidRPr="00545DC3">
        <w:rPr>
          <w:rFonts w:ascii="Times New Roman" w:hAnsi="Times New Roman"/>
          <w:sz w:val="24"/>
          <w:szCs w:val="24"/>
        </w:rPr>
        <w:t xml:space="preserve"> compagnie, al fine di valutare ogni possibile ulteriore azione entro i termini di prescrizione previsti dalla legge;</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j)</w:t>
      </w:r>
      <w:r w:rsidRPr="00545DC3">
        <w:rPr>
          <w:rFonts w:ascii="Times New Roman" w:hAnsi="Times New Roman"/>
          <w:sz w:val="24"/>
          <w:szCs w:val="24"/>
        </w:rPr>
        <w:tab/>
        <w:t>assistenza nella resa di pareri e consulenza su questioni in materia giuridica sul tema delle responsabilità e del risarcimento del danno e in materia assicurativa;</w:t>
      </w:r>
    </w:p>
    <w:p w:rsidR="00407F88" w:rsidRPr="00545DC3" w:rsidRDefault="00407F88" w:rsidP="00E90CEE">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k) assistenza agli uffici comunali competenti della gestione dei contratti assicurativi e dei sinistri ai fini della chiusura in tempi rapidi degli stessi, con attività di informazione anche nei riguardi dei terzi danneggiati per quanto concerne la data di apertura del sinistro, il numero identificativo ad esso attribuito dalla Compagnia, l'indirizzo del centro liquidazione competente per territorio a seguire la pratica, i recapiti telefonici e di fax, ed il nome del perito a cui la pratica è stata affidata;</w:t>
      </w:r>
    </w:p>
    <w:p w:rsidR="00407F88" w:rsidRPr="00545DC3" w:rsidRDefault="00FB11AC" w:rsidP="00E90CEE">
      <w:pPr>
        <w:spacing w:after="0" w:line="240" w:lineRule="atLeast"/>
        <w:ind w:left="284" w:hanging="284"/>
        <w:jc w:val="both"/>
        <w:rPr>
          <w:rFonts w:ascii="Times New Roman" w:hAnsi="Times New Roman"/>
          <w:sz w:val="24"/>
          <w:szCs w:val="24"/>
        </w:rPr>
      </w:pPr>
      <w:r>
        <w:rPr>
          <w:rFonts w:ascii="Times New Roman" w:hAnsi="Times New Roman"/>
          <w:sz w:val="24"/>
          <w:szCs w:val="24"/>
        </w:rPr>
        <w:lastRenderedPageBreak/>
        <w:t>l</w:t>
      </w:r>
      <w:r w:rsidR="00407F88" w:rsidRPr="00545DC3">
        <w:rPr>
          <w:rFonts w:ascii="Times New Roman" w:hAnsi="Times New Roman"/>
          <w:sz w:val="24"/>
          <w:szCs w:val="24"/>
        </w:rPr>
        <w:t xml:space="preserve">) comunicazione per </w:t>
      </w:r>
      <w:r w:rsidR="00AB182A">
        <w:rPr>
          <w:rFonts w:ascii="Times New Roman" w:hAnsi="Times New Roman"/>
          <w:sz w:val="24"/>
          <w:szCs w:val="24"/>
        </w:rPr>
        <w:t>i</w:t>
      </w:r>
      <w:r w:rsidR="00407F88" w:rsidRPr="00545DC3">
        <w:rPr>
          <w:rFonts w:ascii="Times New Roman" w:hAnsi="Times New Roman"/>
          <w:sz w:val="24"/>
          <w:szCs w:val="24"/>
        </w:rPr>
        <w:t>scritto alla stazione appaltante e al terzo danneggiato delle cause ostative o di rigetto che impediscono l'accoglimento o la liquidazione in tutto o in parte della pretesa avanzata e la conseguente chiusura del procedimento amministrativo avviato;</w:t>
      </w:r>
    </w:p>
    <w:p w:rsidR="00407F88" w:rsidRPr="00545DC3" w:rsidRDefault="00407F88" w:rsidP="00E90CEE">
      <w:pPr>
        <w:spacing w:after="0" w:line="240" w:lineRule="atLeast"/>
        <w:jc w:val="both"/>
        <w:rPr>
          <w:rFonts w:ascii="Times New Roman" w:hAnsi="Times New Roman"/>
          <w:sz w:val="24"/>
          <w:szCs w:val="24"/>
        </w:rPr>
      </w:pPr>
      <w:r w:rsidRPr="00545DC3">
        <w:rPr>
          <w:rFonts w:ascii="Times New Roman" w:hAnsi="Times New Roman"/>
          <w:sz w:val="24"/>
          <w:szCs w:val="24"/>
        </w:rPr>
        <w:t>• e in tale ottica, l'affidatario assumerà l'impegno a collaborare con il broker attualmente incaricato dall'amministrazione per il pieno e completo passaggio delle competenze</w:t>
      </w:r>
      <w:r w:rsidR="005E1823">
        <w:rPr>
          <w:rFonts w:ascii="Times New Roman" w:hAnsi="Times New Roman"/>
          <w:sz w:val="24"/>
          <w:szCs w:val="24"/>
        </w:rPr>
        <w:t xml:space="preserve"> nonché delle posizioni di sinistro presenti alla data dell’affidamento</w:t>
      </w:r>
      <w:r w:rsidRPr="00545DC3">
        <w:rPr>
          <w:rFonts w:ascii="Times New Roman" w:hAnsi="Times New Roman"/>
          <w:sz w:val="24"/>
          <w:szCs w:val="24"/>
        </w:rPr>
        <w:t>, secondo il disposto del codice deontologico e secondo i principi generali in materia.</w:t>
      </w:r>
    </w:p>
    <w:p w:rsidR="00407F88" w:rsidRPr="00545DC3" w:rsidRDefault="00407F88" w:rsidP="00FD4628">
      <w:pPr>
        <w:spacing w:after="0" w:line="240" w:lineRule="atLeast"/>
        <w:jc w:val="both"/>
        <w:rPr>
          <w:rFonts w:ascii="Times New Roman" w:hAnsi="Times New Roman"/>
          <w:sz w:val="24"/>
          <w:szCs w:val="24"/>
        </w:rPr>
      </w:pPr>
      <w:r w:rsidRPr="00545DC3">
        <w:rPr>
          <w:rFonts w:ascii="Times New Roman" w:hAnsi="Times New Roman"/>
          <w:sz w:val="24"/>
          <w:szCs w:val="24"/>
        </w:rPr>
        <w:t>La Stazione appaltante precisa che non è stato predisposto il DUVRI poiché, valutate le attività oggetto dell'appalto, non sono state riscontrate interferenze per le quali intraprendere misure di prevenzione e protezione atte ad eliminare e/o ridurre i rischi; gli oneri relativi risultano essere, pertanto, pari a zero. Restano a carico della società aggiudicataria gli obblighi in merito alla sicurezza sul lavoro.</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w:t>
      </w:r>
      <w:r w:rsidR="00773F76">
        <w:rPr>
          <w:rFonts w:ascii="Times New Roman" w:hAnsi="Times New Roman"/>
          <w:b/>
          <w:sz w:val="24"/>
          <w:szCs w:val="24"/>
        </w:rPr>
        <w:t xml:space="preserve"> </w:t>
      </w:r>
      <w:r w:rsidRPr="00545DC3">
        <w:rPr>
          <w:rFonts w:ascii="Times New Roman" w:hAnsi="Times New Roman"/>
          <w:b/>
          <w:sz w:val="24"/>
          <w:szCs w:val="24"/>
        </w:rPr>
        <w:t>7 - Divieti</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Al broker viene espressamente vietato:</w:t>
      </w:r>
    </w:p>
    <w:p w:rsidR="00407F88" w:rsidRPr="00545DC3" w:rsidRDefault="00407F88" w:rsidP="00FD4628">
      <w:pPr>
        <w:spacing w:after="0" w:line="240" w:lineRule="atLeast"/>
        <w:ind w:left="142" w:hanging="142"/>
        <w:jc w:val="both"/>
        <w:rPr>
          <w:rFonts w:ascii="Times New Roman" w:hAnsi="Times New Roman"/>
          <w:sz w:val="24"/>
          <w:szCs w:val="24"/>
        </w:rPr>
      </w:pPr>
      <w:r w:rsidRPr="00545DC3">
        <w:rPr>
          <w:rFonts w:ascii="Times New Roman" w:hAnsi="Times New Roman"/>
          <w:sz w:val="24"/>
          <w:szCs w:val="24"/>
        </w:rPr>
        <w:t>A) di assumere qualsiasi iniziativa che non sia stata preventivamente concordata con il Comune;</w:t>
      </w:r>
    </w:p>
    <w:p w:rsidR="00407F88" w:rsidRPr="00545DC3" w:rsidRDefault="00407F88" w:rsidP="00FD4628">
      <w:pPr>
        <w:spacing w:after="0" w:line="240" w:lineRule="atLeast"/>
        <w:ind w:left="142" w:hanging="142"/>
        <w:jc w:val="both"/>
        <w:rPr>
          <w:rFonts w:ascii="Times New Roman" w:hAnsi="Times New Roman"/>
          <w:sz w:val="24"/>
          <w:szCs w:val="24"/>
        </w:rPr>
      </w:pPr>
      <w:r w:rsidRPr="00545DC3">
        <w:rPr>
          <w:rFonts w:ascii="Times New Roman" w:hAnsi="Times New Roman"/>
          <w:sz w:val="24"/>
          <w:szCs w:val="24"/>
        </w:rPr>
        <w:t>B) di stipulare o sottoscrivere atti e/o contratti che possano in qualche modo impegnare il Comune senza il suo preventivo, esplicito, consenso;</w:t>
      </w:r>
    </w:p>
    <w:p w:rsidR="00407F88" w:rsidRPr="00545DC3" w:rsidRDefault="00407F88" w:rsidP="00FD4628">
      <w:pPr>
        <w:spacing w:after="0" w:line="240" w:lineRule="atLeast"/>
        <w:ind w:left="142" w:hanging="142"/>
        <w:jc w:val="both"/>
        <w:rPr>
          <w:rFonts w:ascii="Times New Roman" w:hAnsi="Times New Roman"/>
          <w:sz w:val="24"/>
          <w:szCs w:val="24"/>
        </w:rPr>
      </w:pPr>
      <w:r w:rsidRPr="00545DC3">
        <w:rPr>
          <w:rFonts w:ascii="Times New Roman" w:hAnsi="Times New Roman"/>
          <w:sz w:val="24"/>
          <w:szCs w:val="24"/>
        </w:rPr>
        <w:t>C) cedere il servizio, in tutto o in parte, in subappalto.</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w:t>
      </w:r>
      <w:r w:rsidR="00773F76">
        <w:rPr>
          <w:rFonts w:ascii="Times New Roman" w:hAnsi="Times New Roman"/>
          <w:b/>
          <w:sz w:val="24"/>
          <w:szCs w:val="24"/>
        </w:rPr>
        <w:t xml:space="preserve"> </w:t>
      </w:r>
      <w:r w:rsidRPr="00545DC3">
        <w:rPr>
          <w:rFonts w:ascii="Times New Roman" w:hAnsi="Times New Roman"/>
          <w:b/>
          <w:sz w:val="24"/>
          <w:szCs w:val="24"/>
        </w:rPr>
        <w:t>8 - Prerogative del Comune</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Res</w:t>
      </w:r>
      <w:r w:rsidR="00FB11AC">
        <w:rPr>
          <w:rFonts w:ascii="Times New Roman" w:hAnsi="Times New Roman"/>
          <w:sz w:val="24"/>
          <w:szCs w:val="24"/>
        </w:rPr>
        <w:t>tano di esclusiva competenza del</w:t>
      </w:r>
      <w:r w:rsidRPr="00545DC3">
        <w:rPr>
          <w:rFonts w:ascii="Times New Roman" w:hAnsi="Times New Roman"/>
          <w:sz w:val="24"/>
          <w:szCs w:val="24"/>
        </w:rPr>
        <w:t xml:space="preserve"> Comune:</w:t>
      </w:r>
    </w:p>
    <w:p w:rsidR="00407F88" w:rsidRPr="00545DC3" w:rsidRDefault="00407F88" w:rsidP="00FD462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A) la valutazione e la decisione di merito sulle varie proposte formulate dal broker;</w:t>
      </w:r>
    </w:p>
    <w:p w:rsidR="00407F88" w:rsidRPr="00545DC3" w:rsidRDefault="00407F88" w:rsidP="00FD462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B) la decisione finale sulle coperture assicurative da adottare;</w:t>
      </w:r>
    </w:p>
    <w:p w:rsidR="00407F88" w:rsidRPr="00545DC3" w:rsidRDefault="00407F88" w:rsidP="00FD462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C) l'adozione degli atti amministrativi e dei capitolati speciali da utilizzare per l'appalto, nelle forme di legge, delle coperture assicurative di cui necessita l'ente;</w:t>
      </w:r>
    </w:p>
    <w:p w:rsidR="00407F88" w:rsidRPr="00545DC3" w:rsidRDefault="00407F88" w:rsidP="00FD462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D) la sottoscrizione di tutti gli atti e documenti contrattuali, compresi quelli relativi alla liquidazione di eventuali sinistri.</w:t>
      </w:r>
    </w:p>
    <w:p w:rsidR="00407F88" w:rsidRPr="00545DC3" w:rsidRDefault="00407F88" w:rsidP="00FD462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Il Comune si riserva la facoltà insindacabile di revocare l'incarico in caso di inadempienze reiterate da parte del broker.</w:t>
      </w:r>
    </w:p>
    <w:p w:rsidR="00407F88" w:rsidRPr="00545DC3" w:rsidRDefault="00407F88" w:rsidP="00FD4628">
      <w:pPr>
        <w:spacing w:after="0" w:line="240" w:lineRule="atLeast"/>
        <w:ind w:left="284" w:hanging="284"/>
        <w:jc w:val="both"/>
        <w:rPr>
          <w:rFonts w:ascii="Times New Roman" w:hAnsi="Times New Roman"/>
          <w:sz w:val="24"/>
          <w:szCs w:val="24"/>
        </w:rPr>
      </w:pPr>
    </w:p>
    <w:p w:rsidR="00407F88" w:rsidRPr="00545DC3" w:rsidRDefault="00773F76" w:rsidP="007C3AD1">
      <w:pPr>
        <w:spacing w:after="0" w:line="240" w:lineRule="atLeast"/>
        <w:jc w:val="both"/>
        <w:rPr>
          <w:rFonts w:ascii="Times New Roman" w:hAnsi="Times New Roman"/>
          <w:b/>
          <w:sz w:val="24"/>
          <w:szCs w:val="24"/>
        </w:rPr>
      </w:pPr>
      <w:r>
        <w:rPr>
          <w:rFonts w:ascii="Times New Roman" w:hAnsi="Times New Roman"/>
          <w:b/>
          <w:sz w:val="24"/>
          <w:szCs w:val="24"/>
        </w:rPr>
        <w:t xml:space="preserve">ART. </w:t>
      </w:r>
      <w:r w:rsidR="00407F88" w:rsidRPr="00545DC3">
        <w:rPr>
          <w:rFonts w:ascii="Times New Roman" w:hAnsi="Times New Roman"/>
          <w:b/>
          <w:sz w:val="24"/>
          <w:szCs w:val="24"/>
        </w:rPr>
        <w:t>9 - Pagamento dei premi assicurativi</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pagamento dei premi verrà effettuato dall'Ente al broker, che provvederà alla trasmissione degli stessi alle Compagnie di assicurazione entro i tempi necessari a garantire alla stazione appaltante la continuità della copertura assicurativa.</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Non sono imputabili alla stazione appaltante gli effetti di eventuali ritardati pagamenti alle Compagnie effettuati dal broker.</w:t>
      </w:r>
    </w:p>
    <w:p w:rsidR="00FC17A6" w:rsidRDefault="00FC17A6" w:rsidP="007C3AD1">
      <w:pPr>
        <w:spacing w:after="0" w:line="240" w:lineRule="atLeast"/>
        <w:jc w:val="both"/>
        <w:rPr>
          <w:rFonts w:ascii="Times New Roman" w:hAnsi="Times New Roman"/>
          <w:b/>
          <w:sz w:val="24"/>
          <w:szCs w:val="24"/>
        </w:rPr>
      </w:pPr>
    </w:p>
    <w:p w:rsidR="00407F88" w:rsidRDefault="004F78A3" w:rsidP="007C3AD1">
      <w:pPr>
        <w:spacing w:after="0" w:line="240" w:lineRule="atLeast"/>
        <w:jc w:val="both"/>
        <w:rPr>
          <w:rFonts w:ascii="Times New Roman" w:hAnsi="Times New Roman"/>
          <w:b/>
          <w:sz w:val="24"/>
          <w:szCs w:val="24"/>
        </w:rPr>
      </w:pPr>
      <w:r>
        <w:rPr>
          <w:rFonts w:ascii="Times New Roman" w:hAnsi="Times New Roman"/>
          <w:b/>
          <w:sz w:val="24"/>
          <w:szCs w:val="24"/>
        </w:rPr>
        <w:t xml:space="preserve">ART. 10 </w:t>
      </w:r>
      <w:r w:rsidR="00407F88" w:rsidRPr="00545DC3">
        <w:rPr>
          <w:rFonts w:ascii="Times New Roman" w:hAnsi="Times New Roman"/>
          <w:b/>
          <w:sz w:val="24"/>
          <w:szCs w:val="24"/>
        </w:rPr>
        <w:t>- Criterio di aggiudicazione</w:t>
      </w:r>
    </w:p>
    <w:p w:rsidR="006963FF" w:rsidRPr="006963FF" w:rsidRDefault="006963FF" w:rsidP="007C3AD1">
      <w:pPr>
        <w:spacing w:after="0" w:line="240" w:lineRule="atLeast"/>
        <w:jc w:val="both"/>
        <w:rPr>
          <w:rFonts w:ascii="Times New Roman" w:hAnsi="Times New Roman"/>
          <w:sz w:val="24"/>
          <w:szCs w:val="24"/>
        </w:rPr>
      </w:pPr>
      <w:r>
        <w:rPr>
          <w:rFonts w:ascii="Times New Roman" w:hAnsi="Times New Roman"/>
          <w:sz w:val="24"/>
          <w:szCs w:val="24"/>
        </w:rPr>
        <w:t>L’affidamento del servizio avverrà mediante affidamento diretto, ai sensi dell’art. 36, co. 2, lett. a) del D. Lgs. n. 50/2016, previa consultazione di Operatori economici individuati mediante indagine di mercato.</w:t>
      </w:r>
    </w:p>
    <w:p w:rsidR="00407F88" w:rsidRDefault="00C631DF" w:rsidP="007C3AD1">
      <w:pPr>
        <w:spacing w:after="0" w:line="240" w:lineRule="atLeast"/>
        <w:jc w:val="both"/>
        <w:rPr>
          <w:rFonts w:ascii="Times New Roman" w:hAnsi="Times New Roman"/>
          <w:sz w:val="24"/>
          <w:szCs w:val="24"/>
        </w:rPr>
      </w:pPr>
      <w:r>
        <w:rPr>
          <w:rFonts w:ascii="Times New Roman" w:hAnsi="Times New Roman"/>
          <w:sz w:val="24"/>
          <w:szCs w:val="24"/>
        </w:rPr>
        <w:t>La Commissione Giudicatrice, appositamente nominata</w:t>
      </w:r>
      <w:r w:rsidR="00CB3A32">
        <w:rPr>
          <w:rFonts w:ascii="Times New Roman" w:hAnsi="Times New Roman"/>
          <w:sz w:val="24"/>
          <w:szCs w:val="24"/>
        </w:rPr>
        <w:t xml:space="preserve"> con successiva determinazione dirigenziale</w:t>
      </w:r>
      <w:r>
        <w:rPr>
          <w:rFonts w:ascii="Times New Roman" w:hAnsi="Times New Roman"/>
          <w:sz w:val="24"/>
          <w:szCs w:val="24"/>
        </w:rPr>
        <w:t>, procederà all</w:t>
      </w:r>
      <w:r w:rsidR="00201771">
        <w:rPr>
          <w:rFonts w:ascii="Times New Roman" w:hAnsi="Times New Roman"/>
          <w:sz w:val="24"/>
          <w:szCs w:val="24"/>
        </w:rPr>
        <w:t>’</w:t>
      </w:r>
      <w:r>
        <w:rPr>
          <w:rFonts w:ascii="Times New Roman" w:hAnsi="Times New Roman"/>
          <w:sz w:val="24"/>
          <w:szCs w:val="24"/>
        </w:rPr>
        <w:t>i</w:t>
      </w:r>
      <w:r w:rsidR="00201771">
        <w:rPr>
          <w:rFonts w:ascii="Times New Roman" w:hAnsi="Times New Roman"/>
          <w:sz w:val="24"/>
          <w:szCs w:val="24"/>
        </w:rPr>
        <w:t>ndiv</w:t>
      </w:r>
      <w:r w:rsidR="006963FF">
        <w:rPr>
          <w:rFonts w:ascii="Times New Roman" w:hAnsi="Times New Roman"/>
          <w:sz w:val="24"/>
          <w:szCs w:val="24"/>
        </w:rPr>
        <w:t>iduazione dell’Impresa affida</w:t>
      </w:r>
      <w:r w:rsidR="00201771">
        <w:rPr>
          <w:rFonts w:ascii="Times New Roman" w:hAnsi="Times New Roman"/>
          <w:sz w:val="24"/>
          <w:szCs w:val="24"/>
        </w:rPr>
        <w:t>taria del servizio</w:t>
      </w:r>
      <w:r>
        <w:rPr>
          <w:rFonts w:ascii="Times New Roman" w:hAnsi="Times New Roman"/>
          <w:sz w:val="24"/>
          <w:szCs w:val="24"/>
        </w:rPr>
        <w:t xml:space="preserve"> </w:t>
      </w:r>
      <w:r w:rsidR="008821BF">
        <w:rPr>
          <w:rFonts w:ascii="Times New Roman" w:hAnsi="Times New Roman"/>
          <w:sz w:val="24"/>
          <w:szCs w:val="24"/>
        </w:rPr>
        <w:t>tra tutte quelle</w:t>
      </w:r>
      <w:r>
        <w:rPr>
          <w:rFonts w:ascii="Times New Roman" w:hAnsi="Times New Roman"/>
          <w:sz w:val="24"/>
          <w:szCs w:val="24"/>
        </w:rPr>
        <w:t xml:space="preserve"> che</w:t>
      </w:r>
      <w:r w:rsidR="008821BF">
        <w:rPr>
          <w:rFonts w:ascii="Times New Roman" w:hAnsi="Times New Roman"/>
          <w:sz w:val="24"/>
          <w:szCs w:val="24"/>
        </w:rPr>
        <w:t>, in possesso dei requisiti richiesti,</w:t>
      </w:r>
      <w:r>
        <w:rPr>
          <w:rFonts w:ascii="Times New Roman" w:hAnsi="Times New Roman"/>
          <w:sz w:val="24"/>
          <w:szCs w:val="24"/>
        </w:rPr>
        <w:t xml:space="preserve"> </w:t>
      </w:r>
      <w:r w:rsidR="008821BF">
        <w:rPr>
          <w:rFonts w:ascii="Times New Roman" w:hAnsi="Times New Roman"/>
          <w:sz w:val="24"/>
          <w:szCs w:val="24"/>
        </w:rPr>
        <w:t xml:space="preserve">avranno fatto pervenire al Comune di Osimo, </w:t>
      </w:r>
      <w:r w:rsidR="008821BF" w:rsidRPr="008821BF">
        <w:rPr>
          <w:rFonts w:ascii="Times New Roman" w:hAnsi="Times New Roman"/>
          <w:b/>
          <w:sz w:val="24"/>
          <w:szCs w:val="24"/>
          <w:u w:val="single"/>
        </w:rPr>
        <w:t xml:space="preserve">entro </w:t>
      </w:r>
      <w:r w:rsidR="008821BF">
        <w:rPr>
          <w:rFonts w:ascii="Times New Roman" w:hAnsi="Times New Roman"/>
          <w:b/>
          <w:sz w:val="24"/>
          <w:szCs w:val="24"/>
          <w:u w:val="single"/>
        </w:rPr>
        <w:t xml:space="preserve">e non oltre </w:t>
      </w:r>
      <w:r w:rsidR="008821BF" w:rsidRPr="008821BF">
        <w:rPr>
          <w:rFonts w:ascii="Times New Roman" w:hAnsi="Times New Roman"/>
          <w:b/>
          <w:sz w:val="24"/>
          <w:szCs w:val="24"/>
          <w:u w:val="single"/>
        </w:rPr>
        <w:t xml:space="preserve">il termine delle ore 12,00 del giorno </w:t>
      </w:r>
      <w:r w:rsidR="00E341EB">
        <w:rPr>
          <w:rFonts w:ascii="Times New Roman" w:hAnsi="Times New Roman"/>
          <w:b/>
          <w:sz w:val="24"/>
          <w:szCs w:val="24"/>
          <w:u w:val="single"/>
        </w:rPr>
        <w:t>02 dicembre</w:t>
      </w:r>
      <w:r w:rsidR="008821BF" w:rsidRPr="008821BF">
        <w:rPr>
          <w:rFonts w:ascii="Times New Roman" w:hAnsi="Times New Roman"/>
          <w:b/>
          <w:sz w:val="24"/>
          <w:szCs w:val="24"/>
          <w:u w:val="single"/>
        </w:rPr>
        <w:t xml:space="preserve"> 2019</w:t>
      </w:r>
      <w:r w:rsidR="008821BF">
        <w:rPr>
          <w:rFonts w:ascii="Times New Roman" w:hAnsi="Times New Roman"/>
          <w:sz w:val="24"/>
          <w:szCs w:val="24"/>
        </w:rPr>
        <w:t>, la propria manifestazione di interesse alla partecipazione alla procedura, mediante appos</w:t>
      </w:r>
      <w:r w:rsidR="00CB3A32">
        <w:rPr>
          <w:rFonts w:ascii="Times New Roman" w:hAnsi="Times New Roman"/>
          <w:sz w:val="24"/>
          <w:szCs w:val="24"/>
        </w:rPr>
        <w:t>ita dichiarazione, come da</w:t>
      </w:r>
      <w:r>
        <w:rPr>
          <w:rFonts w:ascii="Times New Roman" w:hAnsi="Times New Roman"/>
          <w:sz w:val="24"/>
          <w:szCs w:val="24"/>
        </w:rPr>
        <w:t xml:space="preserve"> schema allegato al presente capitolato</w:t>
      </w:r>
      <w:r w:rsidR="00CB3A32">
        <w:rPr>
          <w:rFonts w:ascii="Times New Roman" w:hAnsi="Times New Roman"/>
          <w:sz w:val="24"/>
          <w:szCs w:val="24"/>
        </w:rPr>
        <w:t xml:space="preserve"> unitamente all’avviso di indagine di mercato</w:t>
      </w:r>
      <w:r>
        <w:rPr>
          <w:rFonts w:ascii="Times New Roman" w:hAnsi="Times New Roman"/>
          <w:sz w:val="24"/>
          <w:szCs w:val="24"/>
        </w:rPr>
        <w:t>.</w:t>
      </w:r>
      <w:r w:rsidR="008821BF">
        <w:rPr>
          <w:rFonts w:ascii="Times New Roman" w:hAnsi="Times New Roman"/>
          <w:sz w:val="24"/>
          <w:szCs w:val="24"/>
        </w:rPr>
        <w:t xml:space="preserve"> </w:t>
      </w:r>
      <w:r>
        <w:rPr>
          <w:rFonts w:ascii="Times New Roman" w:hAnsi="Times New Roman"/>
          <w:sz w:val="24"/>
          <w:szCs w:val="24"/>
        </w:rPr>
        <w:t xml:space="preserve">Il criterio </w:t>
      </w:r>
      <w:r w:rsidR="00CB3A32">
        <w:rPr>
          <w:rFonts w:ascii="Times New Roman" w:hAnsi="Times New Roman"/>
          <w:sz w:val="24"/>
          <w:szCs w:val="24"/>
        </w:rPr>
        <w:t>a</w:t>
      </w:r>
      <w:r>
        <w:rPr>
          <w:rFonts w:ascii="Times New Roman" w:hAnsi="Times New Roman"/>
          <w:sz w:val="24"/>
          <w:szCs w:val="24"/>
        </w:rPr>
        <w:t>dottato dalla Commissione Giudicatrice per l’individuazione dell’Impresa a</w:t>
      </w:r>
      <w:r w:rsidR="00AD72FC">
        <w:rPr>
          <w:rFonts w:ascii="Times New Roman" w:hAnsi="Times New Roman"/>
          <w:sz w:val="24"/>
          <w:szCs w:val="24"/>
        </w:rPr>
        <w:t>ffida</w:t>
      </w:r>
      <w:r>
        <w:rPr>
          <w:rFonts w:ascii="Times New Roman" w:hAnsi="Times New Roman"/>
          <w:sz w:val="24"/>
          <w:szCs w:val="24"/>
        </w:rPr>
        <w:t>taria</w:t>
      </w:r>
      <w:r w:rsidR="008821BF">
        <w:rPr>
          <w:rFonts w:ascii="Times New Roman" w:hAnsi="Times New Roman"/>
          <w:sz w:val="24"/>
          <w:szCs w:val="24"/>
        </w:rPr>
        <w:t xml:space="preserve"> </w:t>
      </w:r>
      <w:r>
        <w:rPr>
          <w:rFonts w:ascii="Times New Roman" w:hAnsi="Times New Roman"/>
          <w:sz w:val="24"/>
          <w:szCs w:val="24"/>
        </w:rPr>
        <w:t>sarà quello</w:t>
      </w:r>
      <w:r w:rsidR="00407F88" w:rsidRPr="00545DC3">
        <w:rPr>
          <w:rFonts w:ascii="Times New Roman" w:hAnsi="Times New Roman"/>
          <w:sz w:val="24"/>
          <w:szCs w:val="24"/>
        </w:rPr>
        <w:t xml:space="preserve"> dell'offerta economicamente più vantaggiosa</w:t>
      </w:r>
      <w:r w:rsidR="008821BF">
        <w:rPr>
          <w:rFonts w:ascii="Times New Roman" w:hAnsi="Times New Roman"/>
          <w:sz w:val="24"/>
          <w:szCs w:val="24"/>
        </w:rPr>
        <w:t>,</w:t>
      </w:r>
      <w:r w:rsidR="00407F88" w:rsidRPr="00545DC3">
        <w:rPr>
          <w:rFonts w:ascii="Times New Roman" w:hAnsi="Times New Roman"/>
          <w:sz w:val="24"/>
          <w:szCs w:val="24"/>
        </w:rPr>
        <w:t xml:space="preserve"> di cui all'art. </w:t>
      </w:r>
      <w:r w:rsidR="008873D8">
        <w:rPr>
          <w:rFonts w:ascii="Times New Roman" w:hAnsi="Times New Roman"/>
          <w:sz w:val="24"/>
          <w:szCs w:val="24"/>
        </w:rPr>
        <w:t xml:space="preserve">95 comma </w:t>
      </w:r>
      <w:r w:rsidR="000820E7" w:rsidRPr="00545DC3">
        <w:rPr>
          <w:rFonts w:ascii="Times New Roman" w:hAnsi="Times New Roman"/>
          <w:sz w:val="24"/>
          <w:szCs w:val="24"/>
        </w:rPr>
        <w:t>6</w:t>
      </w:r>
      <w:r w:rsidR="00407F88" w:rsidRPr="00545DC3">
        <w:rPr>
          <w:rFonts w:ascii="Times New Roman" w:hAnsi="Times New Roman"/>
          <w:sz w:val="24"/>
          <w:szCs w:val="24"/>
        </w:rPr>
        <w:t xml:space="preserve"> de</w:t>
      </w:r>
      <w:r w:rsidR="000820E7" w:rsidRPr="00545DC3">
        <w:rPr>
          <w:rFonts w:ascii="Times New Roman" w:hAnsi="Times New Roman"/>
          <w:sz w:val="24"/>
          <w:szCs w:val="24"/>
        </w:rPr>
        <w:t>l</w:t>
      </w:r>
      <w:r w:rsidR="006B103E">
        <w:rPr>
          <w:rFonts w:ascii="Times New Roman" w:hAnsi="Times New Roman"/>
          <w:sz w:val="24"/>
          <w:szCs w:val="24"/>
        </w:rPr>
        <w:t xml:space="preserve"> D.</w:t>
      </w:r>
      <w:r w:rsidR="008821BF">
        <w:rPr>
          <w:rFonts w:ascii="Times New Roman" w:hAnsi="Times New Roman"/>
          <w:sz w:val="24"/>
          <w:szCs w:val="24"/>
        </w:rPr>
        <w:t xml:space="preserve"> L</w:t>
      </w:r>
      <w:r w:rsidR="006B103E">
        <w:rPr>
          <w:rFonts w:ascii="Times New Roman" w:hAnsi="Times New Roman"/>
          <w:sz w:val="24"/>
          <w:szCs w:val="24"/>
        </w:rPr>
        <w:t xml:space="preserve">gs. </w:t>
      </w:r>
      <w:r w:rsidR="008821BF">
        <w:rPr>
          <w:rFonts w:ascii="Times New Roman" w:hAnsi="Times New Roman"/>
          <w:sz w:val="24"/>
          <w:szCs w:val="24"/>
        </w:rPr>
        <w:t>50</w:t>
      </w:r>
      <w:r w:rsidR="00407F88" w:rsidRPr="00545DC3">
        <w:rPr>
          <w:rFonts w:ascii="Times New Roman" w:hAnsi="Times New Roman"/>
          <w:sz w:val="24"/>
          <w:szCs w:val="24"/>
        </w:rPr>
        <w:t>/20</w:t>
      </w:r>
      <w:r w:rsidR="000820E7" w:rsidRPr="00545DC3">
        <w:rPr>
          <w:rFonts w:ascii="Times New Roman" w:hAnsi="Times New Roman"/>
          <w:sz w:val="24"/>
          <w:szCs w:val="24"/>
        </w:rPr>
        <w:t>16</w:t>
      </w:r>
      <w:r w:rsidR="008821BF">
        <w:rPr>
          <w:rFonts w:ascii="Times New Roman" w:hAnsi="Times New Roman"/>
          <w:sz w:val="24"/>
          <w:szCs w:val="24"/>
        </w:rPr>
        <w:t>,</w:t>
      </w:r>
      <w:r w:rsidR="00407F88" w:rsidRPr="00545DC3">
        <w:rPr>
          <w:rFonts w:ascii="Times New Roman" w:hAnsi="Times New Roman"/>
          <w:sz w:val="24"/>
          <w:szCs w:val="24"/>
        </w:rPr>
        <w:t xml:space="preserve"> valutabile sull</w:t>
      </w:r>
      <w:r w:rsidR="00AE465F">
        <w:rPr>
          <w:rFonts w:ascii="Times New Roman" w:hAnsi="Times New Roman"/>
          <w:sz w:val="24"/>
          <w:szCs w:val="24"/>
        </w:rPr>
        <w:t xml:space="preserve">a base degli elementi </w:t>
      </w:r>
      <w:r>
        <w:rPr>
          <w:rFonts w:ascii="Times New Roman" w:hAnsi="Times New Roman"/>
          <w:sz w:val="24"/>
          <w:szCs w:val="24"/>
        </w:rPr>
        <w:t>sotto</w:t>
      </w:r>
      <w:r w:rsidR="00407F88" w:rsidRPr="00545DC3">
        <w:rPr>
          <w:rFonts w:ascii="Times New Roman" w:hAnsi="Times New Roman"/>
          <w:sz w:val="24"/>
          <w:szCs w:val="24"/>
        </w:rPr>
        <w:t xml:space="preserve"> indicati.</w:t>
      </w:r>
    </w:p>
    <w:p w:rsidR="00CB3A32" w:rsidRDefault="000061B6" w:rsidP="007C3AD1">
      <w:pPr>
        <w:spacing w:after="0" w:line="240" w:lineRule="atLeast"/>
        <w:jc w:val="both"/>
        <w:rPr>
          <w:rFonts w:ascii="Times New Roman" w:hAnsi="Times New Roman"/>
          <w:sz w:val="24"/>
          <w:szCs w:val="24"/>
        </w:rPr>
      </w:pPr>
      <w:r>
        <w:rPr>
          <w:rFonts w:ascii="Times New Roman" w:hAnsi="Times New Roman"/>
          <w:sz w:val="24"/>
          <w:szCs w:val="24"/>
        </w:rPr>
        <w:t xml:space="preserve">Il presente capitolato, unitamente allo schema di dichiarazione per la manifestazione d’interesse ed all’avviso di indagine di mercato, </w:t>
      </w:r>
      <w:r w:rsidR="00CB3A32">
        <w:rPr>
          <w:rFonts w:ascii="Times New Roman" w:hAnsi="Times New Roman"/>
          <w:sz w:val="24"/>
          <w:szCs w:val="24"/>
        </w:rPr>
        <w:t xml:space="preserve">verrà pubblicato all’Albo Pretorio virtuale del Comune di Osimo e </w:t>
      </w:r>
      <w:r w:rsidR="00CB3A32">
        <w:rPr>
          <w:rFonts w:ascii="Times New Roman" w:hAnsi="Times New Roman"/>
          <w:sz w:val="24"/>
          <w:szCs w:val="24"/>
        </w:rPr>
        <w:lastRenderedPageBreak/>
        <w:t xml:space="preserve">nell’apposita Sezione </w:t>
      </w:r>
      <w:r>
        <w:rPr>
          <w:rFonts w:ascii="Times New Roman" w:hAnsi="Times New Roman"/>
          <w:sz w:val="24"/>
          <w:szCs w:val="24"/>
        </w:rPr>
        <w:t xml:space="preserve">“Bandi” del sito web istituzionale del Comune di Osimo: </w:t>
      </w:r>
      <w:hyperlink r:id="rId8" w:history="1">
        <w:r w:rsidRPr="000061B6">
          <w:rPr>
            <w:rStyle w:val="Collegamentoipertestuale"/>
            <w:rFonts w:ascii="Times New Roman" w:hAnsi="Times New Roman"/>
            <w:color w:val="auto"/>
            <w:sz w:val="24"/>
            <w:szCs w:val="24"/>
          </w:rPr>
          <w:t>www.comune.osimo.an.it</w:t>
        </w:r>
      </w:hyperlink>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La stazione appaltante si riserva di procedere all'affidamento anche in presenza di una sola offerta valida. Nel caso in cui più offerte abbiano riportato un punteggio complessivo uguale, si procederà per sorteggio. La stazione appaltante si riserva altresì di non procedere ad alcuna aggiudicazione qualora nessuna offerta risulti conveniente o idonea in rela</w:t>
      </w:r>
      <w:r w:rsidR="00243D9D">
        <w:rPr>
          <w:rFonts w:ascii="Times New Roman" w:hAnsi="Times New Roman"/>
          <w:sz w:val="24"/>
          <w:szCs w:val="24"/>
        </w:rPr>
        <w:t>zione all'oggetto del contratto, ai sensi dell’art. 95 comma 12 D.lgs. 50/2016.</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Punteggio complessivo massimo attribuibile: PUNTI 100 così articolati:</w:t>
      </w:r>
    </w:p>
    <w:p w:rsidR="00407F88" w:rsidRPr="006F605C" w:rsidRDefault="00407F88" w:rsidP="004D2DE8">
      <w:pPr>
        <w:spacing w:after="0" w:line="240" w:lineRule="atLeast"/>
        <w:jc w:val="both"/>
        <w:rPr>
          <w:rFonts w:ascii="Times New Roman" w:hAnsi="Times New Roman"/>
          <w:sz w:val="24"/>
          <w:szCs w:val="24"/>
        </w:rPr>
      </w:pPr>
      <w:r w:rsidRPr="006F605C">
        <w:rPr>
          <w:rFonts w:ascii="Times New Roman" w:hAnsi="Times New Roman"/>
          <w:sz w:val="24"/>
          <w:szCs w:val="24"/>
        </w:rPr>
        <w:t>1 - Offerta tecnica (Piano operativo)</w:t>
      </w:r>
      <w:r w:rsidR="009B19D2" w:rsidRPr="006F605C">
        <w:rPr>
          <w:rFonts w:ascii="Times New Roman" w:hAnsi="Times New Roman"/>
          <w:sz w:val="24"/>
          <w:szCs w:val="24"/>
        </w:rPr>
        <w:t xml:space="preserve"> </w:t>
      </w:r>
      <w:r w:rsidR="006F605C">
        <w:rPr>
          <w:rFonts w:ascii="Times New Roman" w:hAnsi="Times New Roman"/>
          <w:sz w:val="24"/>
          <w:szCs w:val="24"/>
        </w:rPr>
        <w:tab/>
      </w:r>
      <w:r w:rsidRPr="006F605C">
        <w:rPr>
          <w:rFonts w:ascii="Times New Roman" w:hAnsi="Times New Roman"/>
          <w:sz w:val="24"/>
          <w:szCs w:val="24"/>
        </w:rPr>
        <w:t xml:space="preserve">max </w:t>
      </w:r>
      <w:r w:rsidR="000820E7" w:rsidRPr="006F605C">
        <w:rPr>
          <w:rFonts w:ascii="Times New Roman" w:hAnsi="Times New Roman"/>
          <w:sz w:val="24"/>
          <w:szCs w:val="24"/>
        </w:rPr>
        <w:t>9</w:t>
      </w:r>
      <w:r w:rsidRPr="006F605C">
        <w:rPr>
          <w:rFonts w:ascii="Times New Roman" w:hAnsi="Times New Roman"/>
          <w:sz w:val="24"/>
          <w:szCs w:val="24"/>
        </w:rPr>
        <w:t>0 punti</w:t>
      </w:r>
      <w:r w:rsidR="00952B26" w:rsidRPr="006F605C">
        <w:rPr>
          <w:rFonts w:ascii="Times New Roman" w:hAnsi="Times New Roman"/>
          <w:sz w:val="24"/>
          <w:szCs w:val="24"/>
        </w:rPr>
        <w:t xml:space="preserve"> </w:t>
      </w:r>
    </w:p>
    <w:p w:rsidR="00407F88" w:rsidRPr="00545DC3" w:rsidRDefault="00407F88" w:rsidP="004D2DE8">
      <w:pPr>
        <w:spacing w:after="0" w:line="240" w:lineRule="atLeast"/>
        <w:jc w:val="both"/>
        <w:rPr>
          <w:rFonts w:ascii="Times New Roman" w:hAnsi="Times New Roman"/>
          <w:sz w:val="24"/>
          <w:szCs w:val="24"/>
        </w:rPr>
      </w:pPr>
      <w:r w:rsidRPr="006F605C">
        <w:rPr>
          <w:rFonts w:ascii="Times New Roman" w:hAnsi="Times New Roman"/>
          <w:sz w:val="24"/>
          <w:szCs w:val="24"/>
        </w:rPr>
        <w:t>2 - Offerta economica</w:t>
      </w:r>
      <w:r w:rsidRPr="006F605C">
        <w:rPr>
          <w:rFonts w:ascii="Times New Roman" w:hAnsi="Times New Roman"/>
          <w:sz w:val="24"/>
          <w:szCs w:val="24"/>
        </w:rPr>
        <w:tab/>
        <w:t xml:space="preserve"> </w:t>
      </w:r>
      <w:r w:rsidR="006F605C">
        <w:rPr>
          <w:rFonts w:ascii="Times New Roman" w:hAnsi="Times New Roman"/>
          <w:sz w:val="24"/>
          <w:szCs w:val="24"/>
        </w:rPr>
        <w:t xml:space="preserve">              </w:t>
      </w:r>
      <w:r w:rsidR="006F605C">
        <w:rPr>
          <w:rFonts w:ascii="Times New Roman" w:hAnsi="Times New Roman"/>
          <w:sz w:val="24"/>
          <w:szCs w:val="24"/>
        </w:rPr>
        <w:tab/>
      </w:r>
      <w:r w:rsidR="006F605C">
        <w:rPr>
          <w:rFonts w:ascii="Times New Roman" w:hAnsi="Times New Roman"/>
          <w:sz w:val="24"/>
          <w:szCs w:val="24"/>
        </w:rPr>
        <w:tab/>
      </w:r>
      <w:r w:rsidRPr="006F605C">
        <w:rPr>
          <w:rFonts w:ascii="Times New Roman" w:hAnsi="Times New Roman"/>
          <w:sz w:val="24"/>
          <w:szCs w:val="24"/>
        </w:rPr>
        <w:t xml:space="preserve">max </w:t>
      </w:r>
      <w:r w:rsidR="000820E7" w:rsidRPr="006F605C">
        <w:rPr>
          <w:rFonts w:ascii="Times New Roman" w:hAnsi="Times New Roman"/>
          <w:sz w:val="24"/>
          <w:szCs w:val="24"/>
        </w:rPr>
        <w:t>1</w:t>
      </w:r>
      <w:r w:rsidRPr="006F605C">
        <w:rPr>
          <w:rFonts w:ascii="Times New Roman" w:hAnsi="Times New Roman"/>
          <w:sz w:val="24"/>
          <w:szCs w:val="24"/>
        </w:rPr>
        <w:t>0 punti</w:t>
      </w:r>
      <w:r w:rsidR="00952B26">
        <w:rPr>
          <w:rFonts w:ascii="Times New Roman" w:hAnsi="Times New Roman"/>
          <w:sz w:val="24"/>
          <w:szCs w:val="24"/>
        </w:rPr>
        <w:t xml:space="preserve"> </w:t>
      </w:r>
    </w:p>
    <w:p w:rsidR="00407F88" w:rsidRPr="00545DC3" w:rsidRDefault="00407F88" w:rsidP="007C3AD1">
      <w:pPr>
        <w:spacing w:after="0" w:line="240" w:lineRule="atLeast"/>
        <w:jc w:val="both"/>
        <w:rPr>
          <w:rFonts w:ascii="Times New Roman" w:hAnsi="Times New Roman"/>
          <w:b/>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 xml:space="preserve">OFFERTA TECNICA fino a punti </w:t>
      </w:r>
      <w:r w:rsidR="000820E7" w:rsidRPr="00545DC3">
        <w:rPr>
          <w:rFonts w:ascii="Times New Roman" w:hAnsi="Times New Roman"/>
          <w:b/>
          <w:sz w:val="24"/>
          <w:szCs w:val="24"/>
        </w:rPr>
        <w:t>9</w:t>
      </w:r>
      <w:r w:rsidRPr="00545DC3">
        <w:rPr>
          <w:rFonts w:ascii="Times New Roman" w:hAnsi="Times New Roman"/>
          <w:b/>
          <w:sz w:val="24"/>
          <w:szCs w:val="24"/>
        </w:rPr>
        <w:t>0</w:t>
      </w:r>
      <w:r w:rsidR="00952B26">
        <w:rPr>
          <w:rFonts w:ascii="Times New Roman" w:hAnsi="Times New Roman"/>
          <w:b/>
          <w:sz w:val="24"/>
          <w:szCs w:val="24"/>
        </w:rPr>
        <w:t xml:space="preserve"> </w:t>
      </w:r>
      <w:r w:rsidRPr="00545DC3">
        <w:rPr>
          <w:rFonts w:ascii="Times New Roman" w:hAnsi="Times New Roman"/>
          <w:b/>
          <w:sz w:val="24"/>
          <w:szCs w:val="24"/>
        </w:rPr>
        <w:t>di cui:</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2"/>
        <w:gridCol w:w="2977"/>
      </w:tblGrid>
      <w:tr w:rsidR="003267F0" w:rsidRPr="00545DC3" w:rsidTr="00F0058D">
        <w:tc>
          <w:tcPr>
            <w:tcW w:w="7372" w:type="dxa"/>
          </w:tcPr>
          <w:p w:rsidR="003267F0" w:rsidRPr="00545DC3" w:rsidRDefault="003267F0" w:rsidP="00A6775A">
            <w:pPr>
              <w:spacing w:after="0" w:line="240" w:lineRule="atLeast"/>
              <w:jc w:val="center"/>
              <w:rPr>
                <w:rFonts w:ascii="Times New Roman" w:hAnsi="Times New Roman"/>
                <w:b/>
                <w:i/>
                <w:sz w:val="24"/>
                <w:szCs w:val="24"/>
              </w:rPr>
            </w:pPr>
            <w:r w:rsidRPr="00545DC3">
              <w:rPr>
                <w:rFonts w:ascii="Times New Roman" w:hAnsi="Times New Roman"/>
                <w:b/>
                <w:i/>
                <w:sz w:val="24"/>
                <w:szCs w:val="24"/>
              </w:rPr>
              <w:t>tipologia del servizio</w:t>
            </w:r>
          </w:p>
        </w:tc>
        <w:tc>
          <w:tcPr>
            <w:tcW w:w="2977" w:type="dxa"/>
          </w:tcPr>
          <w:p w:rsidR="003267F0" w:rsidRPr="00545DC3" w:rsidRDefault="003267F0" w:rsidP="00A6775A">
            <w:pPr>
              <w:spacing w:after="0" w:line="240" w:lineRule="atLeast"/>
              <w:jc w:val="center"/>
              <w:rPr>
                <w:rFonts w:ascii="Times New Roman" w:hAnsi="Times New Roman"/>
                <w:b/>
                <w:i/>
                <w:sz w:val="24"/>
                <w:szCs w:val="24"/>
              </w:rPr>
            </w:pPr>
            <w:r w:rsidRPr="00545DC3">
              <w:rPr>
                <w:rFonts w:ascii="Times New Roman" w:hAnsi="Times New Roman"/>
                <w:b/>
                <w:i/>
                <w:sz w:val="24"/>
                <w:szCs w:val="24"/>
              </w:rPr>
              <w:t>Punteggio</w:t>
            </w:r>
          </w:p>
        </w:tc>
      </w:tr>
      <w:tr w:rsidR="003267F0" w:rsidRPr="00545DC3" w:rsidTr="00F0058D">
        <w:tc>
          <w:tcPr>
            <w:tcW w:w="7372" w:type="dxa"/>
            <w:vMerge w:val="restart"/>
          </w:tcPr>
          <w:p w:rsidR="003267F0" w:rsidRPr="00545DC3" w:rsidRDefault="00952B26" w:rsidP="00414DE9">
            <w:pPr>
              <w:spacing w:before="240" w:after="0" w:line="240" w:lineRule="atLeast"/>
              <w:ind w:left="318" w:right="176" w:hanging="318"/>
              <w:jc w:val="both"/>
              <w:rPr>
                <w:rFonts w:ascii="Times New Roman" w:hAnsi="Times New Roman"/>
                <w:sz w:val="24"/>
                <w:szCs w:val="24"/>
              </w:rPr>
            </w:pPr>
            <w:r>
              <w:rPr>
                <w:rFonts w:ascii="Times New Roman" w:hAnsi="Times New Roman"/>
                <w:sz w:val="24"/>
                <w:szCs w:val="24"/>
              </w:rPr>
              <w:t>1) Modalità e criteri per l’</w:t>
            </w:r>
            <w:r w:rsidR="003267F0" w:rsidRPr="00545DC3">
              <w:rPr>
                <w:rFonts w:ascii="Times New Roman" w:hAnsi="Times New Roman"/>
                <w:sz w:val="24"/>
                <w:szCs w:val="24"/>
              </w:rPr>
              <w:t>espletamento del servizio, secondo le prescrizioni del presente Capitolato, con particolare riferimento alle metodologie, ai criteri e modalità di espletamento dell’incarico, allo staf</w:t>
            </w:r>
            <w:r w:rsidR="00414DE9" w:rsidRPr="00545DC3">
              <w:rPr>
                <w:rFonts w:ascii="Times New Roman" w:hAnsi="Times New Roman"/>
                <w:sz w:val="24"/>
                <w:szCs w:val="24"/>
              </w:rPr>
              <w:t>f</w:t>
            </w:r>
            <w:r w:rsidR="003267F0" w:rsidRPr="00545DC3">
              <w:rPr>
                <w:rFonts w:ascii="Times New Roman" w:hAnsi="Times New Roman"/>
                <w:sz w:val="24"/>
                <w:szCs w:val="24"/>
              </w:rPr>
              <w:t xml:space="preserve"> di interfaccia con l’Ente</w:t>
            </w:r>
            <w:r w:rsidR="00414DE9" w:rsidRPr="00545DC3">
              <w:rPr>
                <w:rFonts w:ascii="Times New Roman" w:hAnsi="Times New Roman"/>
                <w:sz w:val="24"/>
                <w:szCs w:val="24"/>
              </w:rPr>
              <w:t xml:space="preserve"> ed ai su</w:t>
            </w:r>
            <w:r w:rsidR="00773F76">
              <w:rPr>
                <w:rFonts w:ascii="Times New Roman" w:hAnsi="Times New Roman"/>
                <w:sz w:val="24"/>
                <w:szCs w:val="24"/>
              </w:rPr>
              <w:t>o</w:t>
            </w:r>
            <w:r w:rsidR="00414DE9" w:rsidRPr="00545DC3">
              <w:rPr>
                <w:rFonts w:ascii="Times New Roman" w:hAnsi="Times New Roman"/>
                <w:sz w:val="24"/>
                <w:szCs w:val="24"/>
              </w:rPr>
              <w:t>i</w:t>
            </w:r>
            <w:r w:rsidR="00D74786" w:rsidRPr="00545DC3">
              <w:rPr>
                <w:rFonts w:ascii="Times New Roman" w:hAnsi="Times New Roman"/>
                <w:sz w:val="24"/>
                <w:szCs w:val="24"/>
              </w:rPr>
              <w:t xml:space="preserve"> curric</w:t>
            </w:r>
            <w:r w:rsidR="00414DE9" w:rsidRPr="00545DC3">
              <w:rPr>
                <w:rFonts w:ascii="Times New Roman" w:hAnsi="Times New Roman"/>
                <w:sz w:val="24"/>
                <w:szCs w:val="24"/>
              </w:rPr>
              <w:t>u</w:t>
            </w:r>
            <w:r w:rsidR="00D74786" w:rsidRPr="00545DC3">
              <w:rPr>
                <w:rFonts w:ascii="Times New Roman" w:hAnsi="Times New Roman"/>
                <w:sz w:val="24"/>
                <w:szCs w:val="24"/>
              </w:rPr>
              <w:t>la</w:t>
            </w:r>
            <w:r w:rsidR="003267F0" w:rsidRPr="00545DC3">
              <w:rPr>
                <w:rFonts w:ascii="Times New Roman" w:hAnsi="Times New Roman"/>
                <w:sz w:val="24"/>
                <w:szCs w:val="24"/>
              </w:rPr>
              <w:t xml:space="preserve"> </w:t>
            </w:r>
          </w:p>
        </w:tc>
        <w:tc>
          <w:tcPr>
            <w:tcW w:w="2977" w:type="dxa"/>
          </w:tcPr>
          <w:p w:rsidR="003267F0" w:rsidRPr="00545DC3" w:rsidRDefault="003267F0" w:rsidP="00CB41DC">
            <w:pPr>
              <w:spacing w:before="240" w:after="0" w:line="240" w:lineRule="atLeast"/>
              <w:jc w:val="both"/>
              <w:rPr>
                <w:rFonts w:ascii="Times New Roman" w:hAnsi="Times New Roman"/>
                <w:sz w:val="24"/>
                <w:szCs w:val="24"/>
              </w:rPr>
            </w:pPr>
          </w:p>
        </w:tc>
      </w:tr>
      <w:tr w:rsidR="003267F0" w:rsidRPr="00545DC3" w:rsidTr="00F0058D">
        <w:tc>
          <w:tcPr>
            <w:tcW w:w="7372" w:type="dxa"/>
            <w:vMerge/>
          </w:tcPr>
          <w:p w:rsidR="003267F0" w:rsidRPr="00545DC3" w:rsidRDefault="003267F0" w:rsidP="00A6775A">
            <w:pPr>
              <w:spacing w:after="0" w:line="240" w:lineRule="atLeast"/>
              <w:jc w:val="both"/>
              <w:rPr>
                <w:rFonts w:ascii="Times New Roman" w:hAnsi="Times New Roman"/>
                <w:sz w:val="24"/>
                <w:szCs w:val="24"/>
              </w:rPr>
            </w:pPr>
          </w:p>
        </w:tc>
        <w:tc>
          <w:tcPr>
            <w:tcW w:w="2977" w:type="dxa"/>
          </w:tcPr>
          <w:p w:rsidR="003267F0" w:rsidRPr="00545DC3" w:rsidRDefault="00D74786" w:rsidP="001E3D8B">
            <w:pPr>
              <w:spacing w:after="0" w:line="240" w:lineRule="atLeast"/>
              <w:jc w:val="both"/>
              <w:rPr>
                <w:rFonts w:ascii="Times New Roman" w:hAnsi="Times New Roman"/>
                <w:sz w:val="24"/>
                <w:szCs w:val="24"/>
              </w:rPr>
            </w:pPr>
            <w:r w:rsidRPr="00545DC3">
              <w:rPr>
                <w:rFonts w:ascii="Times New Roman" w:hAnsi="Times New Roman"/>
                <w:sz w:val="24"/>
                <w:szCs w:val="24"/>
              </w:rPr>
              <w:t xml:space="preserve">Max punti </w:t>
            </w:r>
            <w:r w:rsidR="001E3D8B">
              <w:rPr>
                <w:rFonts w:ascii="Times New Roman" w:hAnsi="Times New Roman"/>
                <w:sz w:val="24"/>
                <w:szCs w:val="24"/>
              </w:rPr>
              <w:t>4</w:t>
            </w:r>
            <w:r w:rsidRPr="00545DC3">
              <w:rPr>
                <w:rFonts w:ascii="Times New Roman" w:hAnsi="Times New Roman"/>
                <w:sz w:val="24"/>
                <w:szCs w:val="24"/>
              </w:rPr>
              <w:t>0/100</w:t>
            </w:r>
          </w:p>
        </w:tc>
      </w:tr>
      <w:tr w:rsidR="003267F0" w:rsidRPr="00545DC3" w:rsidTr="00F0058D">
        <w:tc>
          <w:tcPr>
            <w:tcW w:w="7372" w:type="dxa"/>
            <w:vMerge/>
          </w:tcPr>
          <w:p w:rsidR="003267F0" w:rsidRPr="00545DC3" w:rsidRDefault="003267F0" w:rsidP="00A6775A">
            <w:pPr>
              <w:spacing w:after="0" w:line="240" w:lineRule="atLeast"/>
              <w:jc w:val="both"/>
              <w:rPr>
                <w:rFonts w:ascii="Times New Roman" w:hAnsi="Times New Roman"/>
                <w:sz w:val="24"/>
                <w:szCs w:val="24"/>
              </w:rPr>
            </w:pPr>
          </w:p>
        </w:tc>
        <w:tc>
          <w:tcPr>
            <w:tcW w:w="2977" w:type="dxa"/>
          </w:tcPr>
          <w:p w:rsidR="003267F0" w:rsidRPr="00545DC3" w:rsidRDefault="003267F0" w:rsidP="00A6775A">
            <w:pPr>
              <w:spacing w:after="0" w:line="240" w:lineRule="atLeast"/>
              <w:jc w:val="both"/>
              <w:rPr>
                <w:rFonts w:ascii="Times New Roman" w:hAnsi="Times New Roman"/>
                <w:sz w:val="24"/>
                <w:szCs w:val="24"/>
              </w:rPr>
            </w:pPr>
          </w:p>
        </w:tc>
      </w:tr>
      <w:tr w:rsidR="003267F0" w:rsidRPr="00545DC3" w:rsidTr="00F0058D">
        <w:tc>
          <w:tcPr>
            <w:tcW w:w="7372" w:type="dxa"/>
            <w:vMerge/>
          </w:tcPr>
          <w:p w:rsidR="003267F0" w:rsidRPr="00545DC3" w:rsidRDefault="003267F0" w:rsidP="00A6775A">
            <w:pPr>
              <w:spacing w:after="0" w:line="240" w:lineRule="atLeast"/>
              <w:jc w:val="both"/>
              <w:rPr>
                <w:rFonts w:ascii="Times New Roman" w:hAnsi="Times New Roman"/>
                <w:sz w:val="24"/>
                <w:szCs w:val="24"/>
              </w:rPr>
            </w:pPr>
          </w:p>
        </w:tc>
        <w:tc>
          <w:tcPr>
            <w:tcW w:w="2977" w:type="dxa"/>
          </w:tcPr>
          <w:p w:rsidR="003267F0" w:rsidRPr="00545DC3" w:rsidRDefault="003267F0" w:rsidP="00CB41DC">
            <w:pPr>
              <w:spacing w:after="0" w:line="240" w:lineRule="atLeast"/>
              <w:jc w:val="both"/>
              <w:rPr>
                <w:rFonts w:ascii="Times New Roman" w:hAnsi="Times New Roman"/>
                <w:sz w:val="24"/>
                <w:szCs w:val="24"/>
              </w:rPr>
            </w:pPr>
          </w:p>
        </w:tc>
      </w:tr>
      <w:tr w:rsidR="003267F0" w:rsidRPr="00545DC3" w:rsidTr="00F0058D">
        <w:tc>
          <w:tcPr>
            <w:tcW w:w="7372" w:type="dxa"/>
            <w:vMerge w:val="restart"/>
          </w:tcPr>
          <w:p w:rsidR="003267F0" w:rsidRPr="00545DC3" w:rsidRDefault="003267F0" w:rsidP="00D74786">
            <w:pPr>
              <w:spacing w:before="240" w:after="0" w:line="240" w:lineRule="atLeast"/>
              <w:ind w:left="318" w:right="176" w:hanging="318"/>
              <w:jc w:val="both"/>
              <w:rPr>
                <w:rFonts w:ascii="Times New Roman" w:hAnsi="Times New Roman"/>
                <w:sz w:val="24"/>
                <w:szCs w:val="24"/>
              </w:rPr>
            </w:pPr>
            <w:r w:rsidRPr="00545DC3">
              <w:rPr>
                <w:rFonts w:ascii="Times New Roman" w:hAnsi="Times New Roman"/>
                <w:sz w:val="24"/>
                <w:szCs w:val="24"/>
              </w:rPr>
              <w:t>2)</w:t>
            </w:r>
            <w:r w:rsidRPr="00545DC3">
              <w:rPr>
                <w:rFonts w:ascii="Times New Roman" w:hAnsi="Times New Roman"/>
                <w:sz w:val="24"/>
                <w:szCs w:val="24"/>
              </w:rPr>
              <w:tab/>
            </w:r>
            <w:r w:rsidR="00D74786" w:rsidRPr="00545DC3">
              <w:rPr>
                <w:rFonts w:ascii="Times New Roman" w:hAnsi="Times New Roman"/>
                <w:sz w:val="24"/>
                <w:szCs w:val="24"/>
              </w:rPr>
              <w:t>Modalità di gestione dei sinistri sia attivi sia passivi dell’Ente</w:t>
            </w:r>
          </w:p>
        </w:tc>
        <w:tc>
          <w:tcPr>
            <w:tcW w:w="2977" w:type="dxa"/>
          </w:tcPr>
          <w:p w:rsidR="003267F0" w:rsidRPr="00545DC3" w:rsidRDefault="00D74786" w:rsidP="00CB41DC">
            <w:pPr>
              <w:spacing w:before="240" w:after="0" w:line="240" w:lineRule="atLeast"/>
              <w:jc w:val="both"/>
              <w:rPr>
                <w:rFonts w:ascii="Times New Roman" w:hAnsi="Times New Roman"/>
                <w:sz w:val="24"/>
                <w:szCs w:val="24"/>
              </w:rPr>
            </w:pPr>
            <w:r w:rsidRPr="00545DC3">
              <w:rPr>
                <w:rFonts w:ascii="Times New Roman" w:hAnsi="Times New Roman"/>
                <w:sz w:val="24"/>
                <w:szCs w:val="24"/>
              </w:rPr>
              <w:t>Max punti 30/100</w:t>
            </w:r>
          </w:p>
        </w:tc>
      </w:tr>
      <w:tr w:rsidR="003267F0" w:rsidRPr="00545DC3" w:rsidTr="00F0058D">
        <w:tc>
          <w:tcPr>
            <w:tcW w:w="7372" w:type="dxa"/>
            <w:vMerge/>
          </w:tcPr>
          <w:p w:rsidR="003267F0" w:rsidRPr="00545DC3" w:rsidRDefault="003267F0" w:rsidP="00A6775A">
            <w:pPr>
              <w:spacing w:after="0" w:line="240" w:lineRule="atLeast"/>
              <w:jc w:val="both"/>
              <w:rPr>
                <w:rFonts w:ascii="Times New Roman" w:hAnsi="Times New Roman"/>
                <w:sz w:val="24"/>
                <w:szCs w:val="24"/>
              </w:rPr>
            </w:pPr>
          </w:p>
        </w:tc>
        <w:tc>
          <w:tcPr>
            <w:tcW w:w="2977" w:type="dxa"/>
          </w:tcPr>
          <w:p w:rsidR="003267F0" w:rsidRPr="00545DC3" w:rsidRDefault="003267F0" w:rsidP="00CB41DC">
            <w:pPr>
              <w:spacing w:after="0" w:line="240" w:lineRule="atLeast"/>
              <w:jc w:val="both"/>
              <w:rPr>
                <w:rFonts w:ascii="Times New Roman" w:hAnsi="Times New Roman"/>
                <w:sz w:val="24"/>
                <w:szCs w:val="24"/>
              </w:rPr>
            </w:pPr>
          </w:p>
        </w:tc>
      </w:tr>
      <w:tr w:rsidR="003267F0" w:rsidRPr="00545DC3" w:rsidTr="00F0058D">
        <w:tc>
          <w:tcPr>
            <w:tcW w:w="7372" w:type="dxa"/>
            <w:vMerge w:val="restart"/>
          </w:tcPr>
          <w:p w:rsidR="003267F0" w:rsidRPr="00545DC3" w:rsidRDefault="003267F0" w:rsidP="00AB182A">
            <w:pPr>
              <w:spacing w:before="240" w:after="0" w:line="240" w:lineRule="atLeast"/>
              <w:ind w:left="318" w:right="318" w:hanging="318"/>
              <w:jc w:val="both"/>
              <w:rPr>
                <w:rFonts w:ascii="Times New Roman" w:hAnsi="Times New Roman"/>
                <w:sz w:val="24"/>
                <w:szCs w:val="24"/>
              </w:rPr>
            </w:pPr>
            <w:r w:rsidRPr="00545DC3">
              <w:rPr>
                <w:rFonts w:ascii="Times New Roman" w:hAnsi="Times New Roman"/>
                <w:sz w:val="24"/>
                <w:szCs w:val="24"/>
              </w:rPr>
              <w:t>3)</w:t>
            </w:r>
            <w:r w:rsidRPr="00545DC3">
              <w:rPr>
                <w:rFonts w:ascii="Times New Roman" w:hAnsi="Times New Roman"/>
                <w:sz w:val="24"/>
                <w:szCs w:val="24"/>
              </w:rPr>
              <w:tab/>
            </w:r>
            <w:r w:rsidR="00D74786" w:rsidRPr="00545DC3">
              <w:rPr>
                <w:rFonts w:ascii="Times New Roman" w:hAnsi="Times New Roman"/>
                <w:sz w:val="24"/>
                <w:szCs w:val="24"/>
              </w:rPr>
              <w:t>Piano di formazione e aggiornamento rivolti ai dipendenti comunali che, in caso di aggiudicazione, il concorrente si obbliga ad effettuare presso la sede dell’Ente</w:t>
            </w:r>
          </w:p>
        </w:tc>
        <w:tc>
          <w:tcPr>
            <w:tcW w:w="2977" w:type="dxa"/>
          </w:tcPr>
          <w:p w:rsidR="003267F0" w:rsidRPr="00545DC3" w:rsidRDefault="00D74786" w:rsidP="00A6775A">
            <w:pPr>
              <w:spacing w:before="240" w:after="0" w:line="240" w:lineRule="atLeast"/>
              <w:jc w:val="both"/>
              <w:rPr>
                <w:rFonts w:ascii="Times New Roman" w:hAnsi="Times New Roman"/>
                <w:sz w:val="24"/>
                <w:szCs w:val="24"/>
              </w:rPr>
            </w:pPr>
            <w:r w:rsidRPr="00545DC3">
              <w:rPr>
                <w:rFonts w:ascii="Times New Roman" w:hAnsi="Times New Roman"/>
                <w:sz w:val="24"/>
                <w:szCs w:val="24"/>
              </w:rPr>
              <w:t>Max punti 10/100</w:t>
            </w:r>
          </w:p>
        </w:tc>
      </w:tr>
      <w:tr w:rsidR="003267F0" w:rsidRPr="00545DC3" w:rsidTr="00F0058D">
        <w:tc>
          <w:tcPr>
            <w:tcW w:w="7372" w:type="dxa"/>
            <w:vMerge/>
          </w:tcPr>
          <w:p w:rsidR="003267F0" w:rsidRPr="00545DC3" w:rsidRDefault="003267F0" w:rsidP="00A6775A">
            <w:pPr>
              <w:spacing w:after="0" w:line="240" w:lineRule="atLeast"/>
              <w:ind w:left="318" w:right="318" w:hanging="318"/>
              <w:jc w:val="both"/>
              <w:rPr>
                <w:rFonts w:ascii="Times New Roman" w:hAnsi="Times New Roman"/>
                <w:sz w:val="24"/>
                <w:szCs w:val="24"/>
              </w:rPr>
            </w:pPr>
          </w:p>
        </w:tc>
        <w:tc>
          <w:tcPr>
            <w:tcW w:w="2977" w:type="dxa"/>
          </w:tcPr>
          <w:p w:rsidR="003267F0" w:rsidRPr="00545DC3" w:rsidRDefault="003267F0" w:rsidP="00CB41DC">
            <w:pPr>
              <w:spacing w:after="0" w:line="240" w:lineRule="atLeast"/>
              <w:jc w:val="both"/>
              <w:rPr>
                <w:rFonts w:ascii="Times New Roman" w:hAnsi="Times New Roman"/>
                <w:sz w:val="24"/>
                <w:szCs w:val="24"/>
              </w:rPr>
            </w:pPr>
          </w:p>
        </w:tc>
      </w:tr>
      <w:tr w:rsidR="003267F0" w:rsidRPr="00545DC3" w:rsidTr="00F0058D">
        <w:tc>
          <w:tcPr>
            <w:tcW w:w="7372" w:type="dxa"/>
            <w:vMerge/>
          </w:tcPr>
          <w:p w:rsidR="003267F0" w:rsidRPr="00545DC3" w:rsidRDefault="003267F0" w:rsidP="00A6775A">
            <w:pPr>
              <w:spacing w:after="0" w:line="240" w:lineRule="atLeast"/>
              <w:ind w:left="318" w:right="318" w:hanging="318"/>
              <w:jc w:val="both"/>
              <w:rPr>
                <w:rFonts w:ascii="Times New Roman" w:hAnsi="Times New Roman"/>
                <w:sz w:val="24"/>
                <w:szCs w:val="24"/>
              </w:rPr>
            </w:pPr>
          </w:p>
        </w:tc>
        <w:tc>
          <w:tcPr>
            <w:tcW w:w="2977" w:type="dxa"/>
          </w:tcPr>
          <w:p w:rsidR="003267F0" w:rsidRPr="00545DC3" w:rsidRDefault="003267F0" w:rsidP="00D74786">
            <w:pPr>
              <w:spacing w:after="0" w:line="240" w:lineRule="atLeast"/>
              <w:jc w:val="both"/>
              <w:rPr>
                <w:rFonts w:ascii="Times New Roman" w:hAnsi="Times New Roman"/>
                <w:sz w:val="24"/>
                <w:szCs w:val="24"/>
              </w:rPr>
            </w:pPr>
          </w:p>
        </w:tc>
      </w:tr>
      <w:tr w:rsidR="003267F0" w:rsidRPr="00545DC3" w:rsidTr="00F0058D">
        <w:tc>
          <w:tcPr>
            <w:tcW w:w="7372" w:type="dxa"/>
          </w:tcPr>
          <w:p w:rsidR="003267F0" w:rsidRPr="00545DC3" w:rsidRDefault="003267F0" w:rsidP="00D74786">
            <w:pPr>
              <w:spacing w:after="0" w:line="240" w:lineRule="atLeast"/>
              <w:ind w:left="318" w:right="318" w:hanging="318"/>
              <w:jc w:val="both"/>
              <w:rPr>
                <w:rFonts w:ascii="Times New Roman" w:hAnsi="Times New Roman"/>
                <w:sz w:val="24"/>
                <w:szCs w:val="24"/>
              </w:rPr>
            </w:pPr>
            <w:r w:rsidRPr="00545DC3">
              <w:rPr>
                <w:rFonts w:ascii="Times New Roman" w:hAnsi="Times New Roman"/>
                <w:sz w:val="24"/>
                <w:szCs w:val="24"/>
              </w:rPr>
              <w:t xml:space="preserve">4) Servizi </w:t>
            </w:r>
            <w:r w:rsidR="00D74786" w:rsidRPr="00545DC3">
              <w:rPr>
                <w:rFonts w:ascii="Times New Roman" w:hAnsi="Times New Roman"/>
                <w:sz w:val="24"/>
                <w:szCs w:val="24"/>
              </w:rPr>
              <w:t>accessori ed aggiuntivi offerti dal concorrente in caso di aggiudicazione</w:t>
            </w:r>
            <w:r w:rsidR="00773F76">
              <w:rPr>
                <w:rFonts w:ascii="Times New Roman" w:hAnsi="Times New Roman"/>
                <w:sz w:val="24"/>
                <w:szCs w:val="24"/>
              </w:rPr>
              <w:t xml:space="preserve"> </w:t>
            </w:r>
            <w:r w:rsidRPr="00545DC3">
              <w:rPr>
                <w:rFonts w:ascii="Times New Roman" w:hAnsi="Times New Roman"/>
                <w:sz w:val="24"/>
                <w:szCs w:val="24"/>
              </w:rPr>
              <w:t xml:space="preserve">    </w:t>
            </w:r>
          </w:p>
        </w:tc>
        <w:tc>
          <w:tcPr>
            <w:tcW w:w="2977" w:type="dxa"/>
          </w:tcPr>
          <w:p w:rsidR="003267F0" w:rsidRPr="00545DC3" w:rsidRDefault="00D74786" w:rsidP="001E3D8B">
            <w:pPr>
              <w:spacing w:after="0" w:line="240" w:lineRule="atLeast"/>
              <w:jc w:val="both"/>
              <w:rPr>
                <w:rFonts w:ascii="Times New Roman" w:hAnsi="Times New Roman"/>
                <w:sz w:val="24"/>
                <w:szCs w:val="24"/>
              </w:rPr>
            </w:pPr>
            <w:r w:rsidRPr="00545DC3">
              <w:rPr>
                <w:rFonts w:ascii="Times New Roman" w:hAnsi="Times New Roman"/>
                <w:sz w:val="24"/>
                <w:szCs w:val="24"/>
              </w:rPr>
              <w:t xml:space="preserve">Max punti </w:t>
            </w:r>
            <w:r w:rsidR="001E3D8B">
              <w:rPr>
                <w:rFonts w:ascii="Times New Roman" w:hAnsi="Times New Roman"/>
                <w:sz w:val="24"/>
                <w:szCs w:val="24"/>
              </w:rPr>
              <w:t>1</w:t>
            </w:r>
            <w:r w:rsidRPr="00545DC3">
              <w:rPr>
                <w:rFonts w:ascii="Times New Roman" w:hAnsi="Times New Roman"/>
                <w:sz w:val="24"/>
                <w:szCs w:val="24"/>
              </w:rPr>
              <w:t>0/100</w:t>
            </w:r>
          </w:p>
        </w:tc>
      </w:tr>
    </w:tbl>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ab/>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ab/>
        <w:t>La Commissione, appositamente nominata, procederà all'esame delle offerte in base ai criteri di valutazione qui di seguito dettagliatamente specificati:</w:t>
      </w:r>
    </w:p>
    <w:p w:rsidR="00407F88" w:rsidRPr="00545DC3" w:rsidRDefault="00407F88" w:rsidP="007C3AD1">
      <w:pPr>
        <w:spacing w:after="0" w:line="240" w:lineRule="atLeast"/>
        <w:jc w:val="both"/>
        <w:rPr>
          <w:rFonts w:ascii="Times New Roman" w:hAnsi="Times New Roman"/>
          <w:sz w:val="24"/>
          <w:szCs w:val="24"/>
        </w:rPr>
      </w:pPr>
    </w:p>
    <w:p w:rsidR="00407F88" w:rsidRPr="005A2A3E" w:rsidRDefault="00407F88" w:rsidP="00687DB8">
      <w:pPr>
        <w:spacing w:after="0" w:line="240" w:lineRule="atLeast"/>
        <w:ind w:left="284" w:hanging="284"/>
        <w:jc w:val="both"/>
        <w:rPr>
          <w:rFonts w:ascii="Times New Roman" w:hAnsi="Times New Roman"/>
          <w:sz w:val="24"/>
          <w:szCs w:val="24"/>
        </w:rPr>
      </w:pPr>
      <w:r w:rsidRPr="00545DC3">
        <w:rPr>
          <w:rFonts w:ascii="Times New Roman" w:hAnsi="Times New Roman"/>
          <w:sz w:val="24"/>
          <w:szCs w:val="24"/>
        </w:rPr>
        <w:t xml:space="preserve">A) VALUTAZIONE DELL'OFFERTA TECNICA: l'offerta tecnica dovrà consistere in una relazione </w:t>
      </w:r>
      <w:r w:rsidRPr="005A2A3E">
        <w:rPr>
          <w:rFonts w:ascii="Times New Roman" w:hAnsi="Times New Roman"/>
          <w:sz w:val="24"/>
          <w:szCs w:val="24"/>
        </w:rPr>
        <w:t>dettagliata (Piano operativo) contenente le modalità tecniche ed organizzative con cui si intende realizzare i singoli servizi oggetto dell'appalto e dettagliatamente descritti nel Capitolato Speciale e dovrà rispettare i contenuti minimi descritti nello schema sopra riportato.</w:t>
      </w:r>
      <w:r w:rsidR="00CB1E79" w:rsidRPr="005A2A3E">
        <w:rPr>
          <w:rFonts w:ascii="Times New Roman" w:hAnsi="Times New Roman"/>
          <w:sz w:val="24"/>
          <w:szCs w:val="24"/>
        </w:rPr>
        <w:t xml:space="preserve"> L</w:t>
      </w:r>
      <w:r w:rsidR="00BC5C15" w:rsidRPr="005A2A3E">
        <w:rPr>
          <w:rFonts w:ascii="Times New Roman" w:hAnsi="Times New Roman"/>
          <w:sz w:val="24"/>
          <w:szCs w:val="24"/>
        </w:rPr>
        <w:t>a stessa non dovrà superare le 1</w:t>
      </w:r>
      <w:r w:rsidR="00CB1E79" w:rsidRPr="005A2A3E">
        <w:rPr>
          <w:rFonts w:ascii="Times New Roman" w:hAnsi="Times New Roman"/>
          <w:sz w:val="24"/>
          <w:szCs w:val="24"/>
        </w:rPr>
        <w:t>0 pagine su una sola facciata e carattere non inferiore a 1</w:t>
      </w:r>
      <w:r w:rsidR="00167B64">
        <w:rPr>
          <w:rFonts w:ascii="Times New Roman" w:hAnsi="Times New Roman"/>
          <w:sz w:val="24"/>
          <w:szCs w:val="24"/>
        </w:rPr>
        <w:t>1</w:t>
      </w:r>
      <w:r w:rsidR="00CB1E79" w:rsidRPr="005A2A3E">
        <w:rPr>
          <w:rFonts w:ascii="Times New Roman" w:hAnsi="Times New Roman"/>
          <w:sz w:val="24"/>
          <w:szCs w:val="24"/>
        </w:rPr>
        <w:t xml:space="preserve"> (dal computo sara</w:t>
      </w:r>
      <w:r w:rsidR="00230283" w:rsidRPr="005A2A3E">
        <w:rPr>
          <w:rFonts w:ascii="Times New Roman" w:hAnsi="Times New Roman"/>
          <w:sz w:val="24"/>
          <w:szCs w:val="24"/>
        </w:rPr>
        <w:t>nno esclusi gli allegati curricu</w:t>
      </w:r>
      <w:r w:rsidR="00CB1E79" w:rsidRPr="005A2A3E">
        <w:rPr>
          <w:rFonts w:ascii="Times New Roman" w:hAnsi="Times New Roman"/>
          <w:sz w:val="24"/>
          <w:szCs w:val="24"/>
        </w:rPr>
        <w:t>l</w:t>
      </w:r>
      <w:r w:rsidR="00CE363B">
        <w:rPr>
          <w:rFonts w:ascii="Times New Roman" w:hAnsi="Times New Roman"/>
          <w:sz w:val="24"/>
          <w:szCs w:val="24"/>
        </w:rPr>
        <w:t xml:space="preserve">a dei singoli) </w:t>
      </w:r>
      <w:r w:rsidR="00AB182A">
        <w:rPr>
          <w:rFonts w:ascii="Times New Roman" w:hAnsi="Times New Roman"/>
          <w:sz w:val="24"/>
          <w:szCs w:val="24"/>
        </w:rPr>
        <w:t xml:space="preserve">ed </w:t>
      </w:r>
      <w:r w:rsidRPr="005A2A3E">
        <w:rPr>
          <w:rFonts w:ascii="Times New Roman" w:hAnsi="Times New Roman"/>
          <w:sz w:val="24"/>
          <w:szCs w:val="24"/>
        </w:rPr>
        <w:t>il concorrente non potrà richiedere compensi aggiuntivi per l'esecuzione delle prestazioni migliorative e/o aggiuntive proposte in sede di offerta tecnica.</w:t>
      </w:r>
    </w:p>
    <w:p w:rsidR="00230283" w:rsidRDefault="00230283" w:rsidP="00230283">
      <w:pPr>
        <w:spacing w:after="0" w:line="240" w:lineRule="atLeast"/>
        <w:ind w:left="284"/>
        <w:jc w:val="both"/>
        <w:rPr>
          <w:rFonts w:ascii="Times New Roman" w:hAnsi="Times New Roman"/>
          <w:sz w:val="24"/>
          <w:szCs w:val="24"/>
        </w:rPr>
      </w:pPr>
      <w:r w:rsidRPr="005A2A3E">
        <w:rPr>
          <w:rFonts w:ascii="Times New Roman" w:hAnsi="Times New Roman"/>
          <w:sz w:val="24"/>
          <w:szCs w:val="24"/>
        </w:rPr>
        <w:t>Ciascun singolo commissario assegnerà per ciascun elemento</w:t>
      </w:r>
      <w:r>
        <w:rPr>
          <w:rFonts w:ascii="Times New Roman" w:hAnsi="Times New Roman"/>
          <w:sz w:val="24"/>
          <w:szCs w:val="24"/>
        </w:rPr>
        <w:t xml:space="preserve"> dell’offerta tecnica un giudizio tradotto in coefficienti da 0 a 1 tene</w:t>
      </w:r>
      <w:r w:rsidR="009E1CB1">
        <w:rPr>
          <w:rFonts w:ascii="Times New Roman" w:hAnsi="Times New Roman"/>
          <w:sz w:val="24"/>
          <w:szCs w:val="24"/>
        </w:rPr>
        <w:t>n</w:t>
      </w:r>
      <w:r>
        <w:rPr>
          <w:rFonts w:ascii="Times New Roman" w:hAnsi="Times New Roman"/>
          <w:sz w:val="24"/>
          <w:szCs w:val="24"/>
        </w:rPr>
        <w:t>do conto della seguente tabella:</w:t>
      </w:r>
    </w:p>
    <w:p w:rsidR="008A41EA" w:rsidRDefault="008A41EA" w:rsidP="00230283">
      <w:pPr>
        <w:spacing w:after="0" w:line="240" w:lineRule="atLeast"/>
        <w:ind w:left="284"/>
        <w:jc w:val="both"/>
        <w:rPr>
          <w:rFonts w:ascii="Times New Roman" w:hAnsi="Times New Roman"/>
          <w:sz w:val="24"/>
          <w:szCs w:val="24"/>
        </w:rPr>
      </w:pP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4"/>
        <w:gridCol w:w="4394"/>
      </w:tblGrid>
      <w:tr w:rsidR="008A41EA" w:rsidTr="008A41EA">
        <w:tc>
          <w:tcPr>
            <w:tcW w:w="2972" w:type="dxa"/>
            <w:shd w:val="clear" w:color="auto" w:fill="auto"/>
          </w:tcPr>
          <w:p w:rsidR="008A41EA" w:rsidRPr="0048761C" w:rsidRDefault="008A41EA" w:rsidP="008A41EA">
            <w:pPr>
              <w:spacing w:after="0" w:line="240" w:lineRule="atLeast"/>
              <w:jc w:val="center"/>
              <w:rPr>
                <w:rFonts w:ascii="Times New Roman" w:hAnsi="Times New Roman"/>
                <w:sz w:val="24"/>
                <w:szCs w:val="24"/>
              </w:rPr>
            </w:pPr>
            <w:r>
              <w:rPr>
                <w:rFonts w:ascii="Times New Roman" w:hAnsi="Times New Roman"/>
                <w:sz w:val="24"/>
                <w:szCs w:val="24"/>
              </w:rPr>
              <w:t>VALUTAZIONE</w:t>
            </w:r>
          </w:p>
        </w:tc>
        <w:tc>
          <w:tcPr>
            <w:tcW w:w="1984" w:type="dxa"/>
            <w:shd w:val="clear" w:color="auto" w:fill="auto"/>
          </w:tcPr>
          <w:p w:rsidR="008A41EA" w:rsidRPr="0048761C" w:rsidRDefault="008A41EA" w:rsidP="008A41EA">
            <w:pPr>
              <w:spacing w:after="0" w:line="240" w:lineRule="atLeast"/>
              <w:jc w:val="center"/>
              <w:rPr>
                <w:rFonts w:ascii="Times New Roman" w:hAnsi="Times New Roman"/>
                <w:sz w:val="24"/>
                <w:szCs w:val="24"/>
              </w:rPr>
            </w:pPr>
            <w:r w:rsidRPr="0048761C">
              <w:rPr>
                <w:rFonts w:ascii="Times New Roman" w:hAnsi="Times New Roman"/>
                <w:sz w:val="24"/>
                <w:szCs w:val="24"/>
              </w:rPr>
              <w:t>COEFFICIENTE</w:t>
            </w:r>
          </w:p>
        </w:tc>
        <w:tc>
          <w:tcPr>
            <w:tcW w:w="4394" w:type="dxa"/>
          </w:tcPr>
          <w:p w:rsidR="008A41EA" w:rsidRPr="0048761C" w:rsidRDefault="008A41EA" w:rsidP="008A41EA">
            <w:pPr>
              <w:spacing w:after="0" w:line="240" w:lineRule="atLeast"/>
              <w:jc w:val="center"/>
              <w:rPr>
                <w:rFonts w:ascii="Times New Roman" w:hAnsi="Times New Roman"/>
                <w:sz w:val="24"/>
                <w:szCs w:val="24"/>
              </w:rPr>
            </w:pPr>
            <w:r>
              <w:rPr>
                <w:rFonts w:ascii="Times New Roman" w:hAnsi="Times New Roman"/>
                <w:sz w:val="24"/>
                <w:szCs w:val="24"/>
              </w:rPr>
              <w:t>CRITERI DI GIUDIZIO</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t>Non valutabile/insufficiente</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0,0</w:t>
            </w:r>
          </w:p>
        </w:tc>
        <w:tc>
          <w:tcPr>
            <w:tcW w:w="4394" w:type="dxa"/>
          </w:tcPr>
          <w:p w:rsidR="008A41EA" w:rsidRPr="00640B58" w:rsidRDefault="008A41EA" w:rsidP="00640B58">
            <w:pPr>
              <w:spacing w:after="0" w:line="240" w:lineRule="atLeast"/>
              <w:rPr>
                <w:rFonts w:ascii="Times New Roman" w:hAnsi="Times New Roman"/>
                <w:sz w:val="21"/>
                <w:szCs w:val="21"/>
              </w:rPr>
            </w:pPr>
            <w:r w:rsidRPr="00640B58">
              <w:rPr>
                <w:rFonts w:ascii="Times New Roman" w:hAnsi="Times New Roman"/>
                <w:sz w:val="21"/>
                <w:szCs w:val="21"/>
              </w:rPr>
              <w:t>Trattazione assente o insufficiente e/o che denota nulla o scarsa rispondenza alle aspettative</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t>Sufficiente</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0,2</w:t>
            </w:r>
          </w:p>
        </w:tc>
        <w:tc>
          <w:tcPr>
            <w:tcW w:w="4394" w:type="dxa"/>
          </w:tcPr>
          <w:p w:rsidR="008A41EA" w:rsidRPr="00640B58" w:rsidRDefault="00640B58" w:rsidP="00640B58">
            <w:pPr>
              <w:spacing w:after="0" w:line="240" w:lineRule="atLeast"/>
              <w:rPr>
                <w:rFonts w:ascii="Times New Roman" w:hAnsi="Times New Roman"/>
                <w:sz w:val="21"/>
                <w:szCs w:val="21"/>
              </w:rPr>
            </w:pPr>
            <w:r>
              <w:rPr>
                <w:rFonts w:ascii="Times New Roman" w:hAnsi="Times New Roman"/>
                <w:sz w:val="21"/>
                <w:szCs w:val="21"/>
              </w:rPr>
              <w:t>Trattazione sintetica e lacunosa, non del tutto rispondente alle aspettative</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t>Discreto</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0,4</w:t>
            </w:r>
          </w:p>
        </w:tc>
        <w:tc>
          <w:tcPr>
            <w:tcW w:w="4394" w:type="dxa"/>
          </w:tcPr>
          <w:p w:rsidR="008A41EA" w:rsidRPr="00640B58" w:rsidRDefault="00640B58" w:rsidP="00640B58">
            <w:pPr>
              <w:spacing w:after="0" w:line="240" w:lineRule="atLeast"/>
              <w:rPr>
                <w:rFonts w:ascii="Times New Roman" w:hAnsi="Times New Roman"/>
                <w:sz w:val="21"/>
                <w:szCs w:val="21"/>
              </w:rPr>
            </w:pPr>
            <w:r>
              <w:rPr>
                <w:rFonts w:ascii="Times New Roman" w:hAnsi="Times New Roman"/>
                <w:sz w:val="21"/>
                <w:szCs w:val="21"/>
              </w:rPr>
              <w:t>Trattazione appena esauriente ma sufficientemente rispondente alle aspettative</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t>Buono</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0,6</w:t>
            </w:r>
          </w:p>
        </w:tc>
        <w:tc>
          <w:tcPr>
            <w:tcW w:w="4394" w:type="dxa"/>
          </w:tcPr>
          <w:p w:rsidR="008A41EA" w:rsidRPr="00640B58" w:rsidRDefault="00640B58" w:rsidP="00640B58">
            <w:pPr>
              <w:spacing w:after="0" w:line="240" w:lineRule="atLeast"/>
              <w:rPr>
                <w:rFonts w:ascii="Times New Roman" w:hAnsi="Times New Roman"/>
                <w:sz w:val="21"/>
                <w:szCs w:val="21"/>
              </w:rPr>
            </w:pPr>
            <w:r>
              <w:rPr>
                <w:rFonts w:ascii="Times New Roman" w:hAnsi="Times New Roman"/>
                <w:sz w:val="21"/>
                <w:szCs w:val="21"/>
              </w:rPr>
              <w:t>Trattazione con buona rispondenza alle aspettative</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t>Ottimo</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0,8</w:t>
            </w:r>
          </w:p>
        </w:tc>
        <w:tc>
          <w:tcPr>
            <w:tcW w:w="4394" w:type="dxa"/>
          </w:tcPr>
          <w:p w:rsidR="008A41EA" w:rsidRPr="00640B58" w:rsidRDefault="00640B58" w:rsidP="00640B58">
            <w:pPr>
              <w:spacing w:after="0" w:line="240" w:lineRule="atLeast"/>
              <w:rPr>
                <w:rFonts w:ascii="Times New Roman" w:hAnsi="Times New Roman"/>
                <w:sz w:val="21"/>
                <w:szCs w:val="21"/>
              </w:rPr>
            </w:pPr>
            <w:r>
              <w:rPr>
                <w:rFonts w:ascii="Times New Roman" w:hAnsi="Times New Roman"/>
                <w:sz w:val="21"/>
                <w:szCs w:val="21"/>
              </w:rPr>
              <w:t xml:space="preserve">Trattazione analitica completa con ottima rispondenza </w:t>
            </w:r>
          </w:p>
        </w:tc>
      </w:tr>
      <w:tr w:rsidR="008A41EA" w:rsidTr="008A41EA">
        <w:tc>
          <w:tcPr>
            <w:tcW w:w="2972" w:type="dxa"/>
            <w:shd w:val="clear" w:color="auto" w:fill="auto"/>
          </w:tcPr>
          <w:p w:rsidR="008A41EA" w:rsidRPr="00640B58" w:rsidRDefault="008A41EA" w:rsidP="008A41EA">
            <w:pPr>
              <w:spacing w:after="0" w:line="240" w:lineRule="atLeast"/>
              <w:jc w:val="both"/>
              <w:rPr>
                <w:rFonts w:ascii="Times New Roman" w:hAnsi="Times New Roman"/>
                <w:sz w:val="21"/>
                <w:szCs w:val="21"/>
              </w:rPr>
            </w:pPr>
            <w:r w:rsidRPr="00640B58">
              <w:rPr>
                <w:rFonts w:ascii="Times New Roman" w:hAnsi="Times New Roman"/>
                <w:sz w:val="21"/>
                <w:szCs w:val="21"/>
              </w:rPr>
              <w:lastRenderedPageBreak/>
              <w:t>Eccellente</w:t>
            </w:r>
          </w:p>
        </w:tc>
        <w:tc>
          <w:tcPr>
            <w:tcW w:w="1984" w:type="dxa"/>
            <w:shd w:val="clear" w:color="auto" w:fill="auto"/>
          </w:tcPr>
          <w:p w:rsidR="008A41EA" w:rsidRPr="00640B58" w:rsidRDefault="008A41EA" w:rsidP="008A41EA">
            <w:pPr>
              <w:spacing w:after="0" w:line="240" w:lineRule="atLeast"/>
              <w:jc w:val="center"/>
              <w:rPr>
                <w:rFonts w:ascii="Times New Roman" w:hAnsi="Times New Roman"/>
                <w:sz w:val="21"/>
                <w:szCs w:val="21"/>
              </w:rPr>
            </w:pPr>
            <w:r w:rsidRPr="00640B58">
              <w:rPr>
                <w:rFonts w:ascii="Times New Roman" w:hAnsi="Times New Roman"/>
                <w:sz w:val="21"/>
                <w:szCs w:val="21"/>
              </w:rPr>
              <w:t>1,0</w:t>
            </w:r>
          </w:p>
        </w:tc>
        <w:tc>
          <w:tcPr>
            <w:tcW w:w="4394" w:type="dxa"/>
          </w:tcPr>
          <w:p w:rsidR="008A41EA" w:rsidRPr="00640B58" w:rsidRDefault="007C04DA" w:rsidP="007C04DA">
            <w:pPr>
              <w:spacing w:after="0" w:line="240" w:lineRule="atLeast"/>
              <w:rPr>
                <w:rFonts w:ascii="Times New Roman" w:hAnsi="Times New Roman"/>
                <w:sz w:val="21"/>
                <w:szCs w:val="21"/>
              </w:rPr>
            </w:pPr>
            <w:r>
              <w:rPr>
                <w:rFonts w:ascii="Times New Roman" w:hAnsi="Times New Roman"/>
                <w:sz w:val="21"/>
                <w:szCs w:val="21"/>
              </w:rPr>
              <w:t>Trattazione dettagliata ed estensiva con piena rispondenza alle aspettative</w:t>
            </w:r>
          </w:p>
        </w:tc>
      </w:tr>
    </w:tbl>
    <w:p w:rsidR="00230283" w:rsidRPr="00545DC3" w:rsidRDefault="00230283" w:rsidP="00230283">
      <w:pPr>
        <w:spacing w:after="0" w:line="240" w:lineRule="atLeast"/>
        <w:ind w:left="284"/>
        <w:jc w:val="both"/>
        <w:rPr>
          <w:rFonts w:ascii="Times New Roman" w:hAnsi="Times New Roman"/>
          <w:sz w:val="24"/>
          <w:szCs w:val="24"/>
        </w:rPr>
      </w:pPr>
    </w:p>
    <w:p w:rsidR="00D83BFB" w:rsidRDefault="00D83BFB" w:rsidP="00687DB8">
      <w:pPr>
        <w:spacing w:after="0" w:line="240" w:lineRule="atLeast"/>
        <w:ind w:left="284"/>
        <w:jc w:val="both"/>
        <w:rPr>
          <w:rFonts w:ascii="Times New Roman" w:hAnsi="Times New Roman"/>
          <w:sz w:val="24"/>
          <w:szCs w:val="24"/>
        </w:rPr>
      </w:pPr>
      <w:r>
        <w:rPr>
          <w:rFonts w:ascii="Times New Roman" w:hAnsi="Times New Roman"/>
          <w:sz w:val="24"/>
          <w:szCs w:val="24"/>
        </w:rPr>
        <w:t>Verrà quindi calcolato, per ciascun aspetto dell’offerta tecnica il coefficiente medio (CM) risultante dalla media aritmetica dei coefficienti espressi d</w:t>
      </w:r>
      <w:r w:rsidR="00FD0A33">
        <w:rPr>
          <w:rFonts w:ascii="Times New Roman" w:hAnsi="Times New Roman"/>
          <w:sz w:val="24"/>
          <w:szCs w:val="24"/>
        </w:rPr>
        <w:t xml:space="preserve">ai singoli commissari, tenendo </w:t>
      </w:r>
      <w:r>
        <w:rPr>
          <w:rFonts w:ascii="Times New Roman" w:hAnsi="Times New Roman"/>
          <w:sz w:val="24"/>
          <w:szCs w:val="24"/>
        </w:rPr>
        <w:t>conto dei primi due decimali conseguente arrotondamento dei successivi.</w:t>
      </w:r>
    </w:p>
    <w:p w:rsidR="00D83BFB" w:rsidRDefault="00D83BFB" w:rsidP="00687DB8">
      <w:pPr>
        <w:spacing w:after="0" w:line="240" w:lineRule="atLeast"/>
        <w:ind w:left="284"/>
        <w:jc w:val="both"/>
        <w:rPr>
          <w:rFonts w:ascii="Times New Roman" w:hAnsi="Times New Roman"/>
          <w:sz w:val="24"/>
          <w:szCs w:val="24"/>
        </w:rPr>
      </w:pPr>
      <w:r>
        <w:rPr>
          <w:rFonts w:ascii="Times New Roman" w:hAnsi="Times New Roman"/>
          <w:sz w:val="24"/>
          <w:szCs w:val="24"/>
        </w:rPr>
        <w:t>La determinazione del punteggio, con arrotondamento alle due cifre decimali dopo la virgola, relativo a ciascun elemento dell’offerta tecnica, verrà</w:t>
      </w:r>
      <w:r w:rsidR="00BB06C9">
        <w:rPr>
          <w:rFonts w:ascii="Times New Roman" w:hAnsi="Times New Roman"/>
          <w:sz w:val="24"/>
          <w:szCs w:val="24"/>
        </w:rPr>
        <w:t xml:space="preserve"> effettuata mediante la seguente formula:</w:t>
      </w:r>
    </w:p>
    <w:p w:rsidR="000061B6" w:rsidRDefault="000061B6" w:rsidP="00687DB8">
      <w:pPr>
        <w:spacing w:after="0" w:line="240" w:lineRule="atLeast"/>
        <w:ind w:left="284"/>
        <w:jc w:val="both"/>
        <w:rPr>
          <w:rFonts w:ascii="Times New Roman" w:hAnsi="Times New Roman"/>
          <w:sz w:val="24"/>
          <w:szCs w:val="24"/>
        </w:rPr>
      </w:pPr>
    </w:p>
    <w:p w:rsidR="00BB06C9" w:rsidRDefault="00BB06C9" w:rsidP="00BB06C9">
      <w:pPr>
        <w:spacing w:after="0" w:line="240" w:lineRule="atLeast"/>
        <w:ind w:left="284"/>
        <w:jc w:val="center"/>
        <w:rPr>
          <w:rFonts w:ascii="Times New Roman" w:hAnsi="Times New Roman"/>
          <w:sz w:val="24"/>
          <w:szCs w:val="24"/>
        </w:rPr>
      </w:pPr>
      <w:r>
        <w:rPr>
          <w:rFonts w:ascii="Times New Roman" w:hAnsi="Times New Roman"/>
          <w:sz w:val="24"/>
          <w:szCs w:val="24"/>
        </w:rPr>
        <w:t>PO= Punt</w:t>
      </w:r>
      <w:r w:rsidR="00435A84">
        <w:rPr>
          <w:rFonts w:ascii="Times New Roman" w:hAnsi="Times New Roman"/>
          <w:sz w:val="24"/>
          <w:szCs w:val="24"/>
        </w:rPr>
        <w:t>.</w:t>
      </w:r>
      <w:r w:rsidR="00FF3BD1">
        <w:rPr>
          <w:rFonts w:ascii="Times New Roman" w:hAnsi="Times New Roman"/>
          <w:sz w:val="24"/>
          <w:szCs w:val="24"/>
        </w:rPr>
        <w:t xml:space="preserve"> Max x</w:t>
      </w:r>
      <w:r>
        <w:rPr>
          <w:rFonts w:ascii="Times New Roman" w:hAnsi="Times New Roman"/>
          <w:sz w:val="24"/>
          <w:szCs w:val="24"/>
        </w:rPr>
        <w:t xml:space="preserve"> CM</w:t>
      </w:r>
    </w:p>
    <w:p w:rsidR="000061B6" w:rsidRDefault="000061B6" w:rsidP="00BB06C9">
      <w:pPr>
        <w:spacing w:after="0" w:line="240" w:lineRule="atLeast"/>
        <w:ind w:left="284"/>
        <w:jc w:val="both"/>
        <w:rPr>
          <w:rFonts w:ascii="Times New Roman" w:hAnsi="Times New Roman"/>
          <w:sz w:val="24"/>
          <w:szCs w:val="24"/>
        </w:rPr>
      </w:pPr>
    </w:p>
    <w:p w:rsidR="00BB06C9" w:rsidRDefault="00BB06C9" w:rsidP="00BB06C9">
      <w:pPr>
        <w:spacing w:after="0" w:line="240" w:lineRule="atLeast"/>
        <w:ind w:left="284"/>
        <w:jc w:val="both"/>
        <w:rPr>
          <w:rFonts w:ascii="Times New Roman" w:hAnsi="Times New Roman"/>
          <w:sz w:val="24"/>
          <w:szCs w:val="24"/>
        </w:rPr>
      </w:pPr>
      <w:r>
        <w:rPr>
          <w:rFonts w:ascii="Times New Roman" w:hAnsi="Times New Roman"/>
          <w:sz w:val="24"/>
          <w:szCs w:val="24"/>
        </w:rPr>
        <w:t xml:space="preserve">dove </w:t>
      </w:r>
    </w:p>
    <w:p w:rsidR="00BB06C9" w:rsidRDefault="00BB06C9" w:rsidP="00BB06C9">
      <w:pPr>
        <w:spacing w:after="0" w:line="240" w:lineRule="atLeast"/>
        <w:ind w:left="284"/>
        <w:jc w:val="both"/>
        <w:rPr>
          <w:rFonts w:ascii="Times New Roman" w:hAnsi="Times New Roman"/>
          <w:sz w:val="24"/>
          <w:szCs w:val="24"/>
        </w:rPr>
      </w:pPr>
      <w:r>
        <w:rPr>
          <w:rFonts w:ascii="Times New Roman" w:hAnsi="Times New Roman"/>
          <w:sz w:val="24"/>
          <w:szCs w:val="24"/>
        </w:rPr>
        <w:t>PO</w:t>
      </w:r>
      <w:r w:rsidR="00FF3BD1">
        <w:rPr>
          <w:rFonts w:ascii="Times New Roman" w:hAnsi="Times New Roman"/>
          <w:sz w:val="24"/>
          <w:szCs w:val="24"/>
        </w:rPr>
        <w:t xml:space="preserve"> = p</w:t>
      </w:r>
      <w:r>
        <w:rPr>
          <w:rFonts w:ascii="Times New Roman" w:hAnsi="Times New Roman"/>
          <w:sz w:val="24"/>
          <w:szCs w:val="24"/>
        </w:rPr>
        <w:t>unteggio ottenuto</w:t>
      </w:r>
    </w:p>
    <w:p w:rsidR="00BB06C9" w:rsidRDefault="00BB06C9" w:rsidP="00BB06C9">
      <w:pPr>
        <w:spacing w:after="0" w:line="240" w:lineRule="atLeast"/>
        <w:ind w:left="284"/>
        <w:jc w:val="both"/>
        <w:rPr>
          <w:rFonts w:ascii="Times New Roman" w:hAnsi="Times New Roman"/>
          <w:sz w:val="24"/>
          <w:szCs w:val="24"/>
        </w:rPr>
      </w:pPr>
      <w:r>
        <w:rPr>
          <w:rFonts w:ascii="Times New Roman" w:hAnsi="Times New Roman"/>
          <w:sz w:val="24"/>
          <w:szCs w:val="24"/>
        </w:rPr>
        <w:t>Punt</w:t>
      </w:r>
      <w:r w:rsidR="00435A84">
        <w:rPr>
          <w:rFonts w:ascii="Times New Roman" w:hAnsi="Times New Roman"/>
          <w:sz w:val="24"/>
          <w:szCs w:val="24"/>
        </w:rPr>
        <w:t>.</w:t>
      </w:r>
      <w:r>
        <w:rPr>
          <w:rFonts w:ascii="Times New Roman" w:hAnsi="Times New Roman"/>
          <w:sz w:val="24"/>
          <w:szCs w:val="24"/>
        </w:rPr>
        <w:t>Max</w:t>
      </w:r>
      <w:r w:rsidR="00FF3BD1">
        <w:rPr>
          <w:rFonts w:ascii="Times New Roman" w:hAnsi="Times New Roman"/>
          <w:sz w:val="24"/>
          <w:szCs w:val="24"/>
        </w:rPr>
        <w:t xml:space="preserve"> </w:t>
      </w:r>
      <w:r>
        <w:rPr>
          <w:rFonts w:ascii="Times New Roman" w:hAnsi="Times New Roman"/>
          <w:sz w:val="24"/>
          <w:szCs w:val="24"/>
        </w:rPr>
        <w:t>=</w:t>
      </w:r>
      <w:r w:rsidR="00FF3BD1">
        <w:rPr>
          <w:rFonts w:ascii="Times New Roman" w:hAnsi="Times New Roman"/>
          <w:sz w:val="24"/>
          <w:szCs w:val="24"/>
        </w:rPr>
        <w:t xml:space="preserve"> </w:t>
      </w:r>
      <w:r>
        <w:rPr>
          <w:rFonts w:ascii="Times New Roman" w:hAnsi="Times New Roman"/>
          <w:sz w:val="24"/>
          <w:szCs w:val="24"/>
        </w:rPr>
        <w:t>punteggio massimo per ogni singolo aspetto</w:t>
      </w:r>
    </w:p>
    <w:p w:rsidR="00BB06C9" w:rsidRDefault="00BB06C9" w:rsidP="00BB06C9">
      <w:pPr>
        <w:spacing w:after="0" w:line="240" w:lineRule="atLeast"/>
        <w:ind w:left="284"/>
        <w:jc w:val="both"/>
        <w:rPr>
          <w:rFonts w:ascii="Times New Roman" w:hAnsi="Times New Roman"/>
          <w:sz w:val="24"/>
          <w:szCs w:val="24"/>
        </w:rPr>
      </w:pPr>
      <w:r>
        <w:rPr>
          <w:rFonts w:ascii="Times New Roman" w:hAnsi="Times New Roman"/>
          <w:sz w:val="24"/>
          <w:szCs w:val="24"/>
        </w:rPr>
        <w:t>CM= coefficiente medio</w:t>
      </w:r>
    </w:p>
    <w:p w:rsidR="00BB06C9" w:rsidRDefault="00CA4A41" w:rsidP="00BB06C9">
      <w:pPr>
        <w:spacing w:after="0" w:line="240" w:lineRule="atLeast"/>
        <w:ind w:left="284"/>
        <w:jc w:val="both"/>
        <w:rPr>
          <w:rFonts w:ascii="Times New Roman" w:hAnsi="Times New Roman"/>
          <w:sz w:val="24"/>
          <w:szCs w:val="24"/>
        </w:rPr>
      </w:pPr>
      <w:r>
        <w:rPr>
          <w:rFonts w:ascii="Times New Roman" w:hAnsi="Times New Roman"/>
          <w:sz w:val="24"/>
          <w:szCs w:val="24"/>
        </w:rPr>
        <w:t>I punt</w:t>
      </w:r>
      <w:r w:rsidR="00BB06C9">
        <w:rPr>
          <w:rFonts w:ascii="Times New Roman" w:hAnsi="Times New Roman"/>
          <w:sz w:val="24"/>
          <w:szCs w:val="24"/>
        </w:rPr>
        <w:t>eggi dei singoli criteri verranno sommati per ottenere il definitivo punteggio dell’offerta tecnica.</w:t>
      </w:r>
    </w:p>
    <w:p w:rsidR="00407F88" w:rsidRPr="00545DC3" w:rsidRDefault="00407F88" w:rsidP="00687DB8">
      <w:pPr>
        <w:spacing w:after="0" w:line="240" w:lineRule="atLeast"/>
        <w:ind w:left="284"/>
        <w:jc w:val="both"/>
        <w:rPr>
          <w:rFonts w:ascii="Times New Roman" w:hAnsi="Times New Roman"/>
          <w:sz w:val="24"/>
          <w:szCs w:val="24"/>
        </w:rPr>
      </w:pPr>
      <w:r w:rsidRPr="00545DC3">
        <w:rPr>
          <w:rFonts w:ascii="Times New Roman" w:hAnsi="Times New Roman"/>
          <w:sz w:val="24"/>
          <w:szCs w:val="24"/>
        </w:rPr>
        <w:t>L'affidatario sarà vincolato nell'esecuzione delle prestazioni oggetto del contratto a quanto offerto, dichiarato e proposto nella propria offerta tecnica ed assunta a base per le valutazioni e le attribuzioni dei punteggi sopra illustrati.</w:t>
      </w:r>
    </w:p>
    <w:p w:rsidR="00407F88" w:rsidRPr="00545DC3" w:rsidRDefault="00407F88" w:rsidP="00687DB8">
      <w:pPr>
        <w:spacing w:after="0" w:line="240" w:lineRule="atLeast"/>
        <w:ind w:left="284"/>
        <w:jc w:val="both"/>
        <w:rPr>
          <w:rFonts w:ascii="Times New Roman" w:hAnsi="Times New Roman"/>
          <w:sz w:val="24"/>
          <w:szCs w:val="24"/>
        </w:rPr>
      </w:pPr>
      <w:r w:rsidRPr="00545DC3">
        <w:rPr>
          <w:rFonts w:ascii="Times New Roman" w:hAnsi="Times New Roman"/>
          <w:sz w:val="24"/>
          <w:szCs w:val="24"/>
        </w:rPr>
        <w:t xml:space="preserve">Ai sensi dell'art. </w:t>
      </w:r>
      <w:r w:rsidR="000820E7" w:rsidRPr="00545DC3">
        <w:rPr>
          <w:rFonts w:ascii="Times New Roman" w:hAnsi="Times New Roman"/>
          <w:sz w:val="24"/>
          <w:szCs w:val="24"/>
        </w:rPr>
        <w:t>95</w:t>
      </w:r>
      <w:r w:rsidRPr="00545DC3">
        <w:rPr>
          <w:rFonts w:ascii="Times New Roman" w:hAnsi="Times New Roman"/>
          <w:sz w:val="24"/>
          <w:szCs w:val="24"/>
        </w:rPr>
        <w:t xml:space="preserve">, comma </w:t>
      </w:r>
      <w:r w:rsidR="000820E7" w:rsidRPr="00545DC3">
        <w:rPr>
          <w:rFonts w:ascii="Times New Roman" w:hAnsi="Times New Roman"/>
          <w:sz w:val="24"/>
          <w:szCs w:val="24"/>
        </w:rPr>
        <w:t>6</w:t>
      </w:r>
      <w:r w:rsidRPr="00545DC3">
        <w:rPr>
          <w:rFonts w:ascii="Times New Roman" w:hAnsi="Times New Roman"/>
          <w:sz w:val="24"/>
          <w:szCs w:val="24"/>
        </w:rPr>
        <w:t xml:space="preserve">, D. Lgs. </w:t>
      </w:r>
      <w:r w:rsidR="000820E7" w:rsidRPr="00545DC3">
        <w:rPr>
          <w:rFonts w:ascii="Times New Roman" w:hAnsi="Times New Roman"/>
          <w:sz w:val="24"/>
          <w:szCs w:val="24"/>
        </w:rPr>
        <w:t>50</w:t>
      </w:r>
      <w:r w:rsidRPr="00545DC3">
        <w:rPr>
          <w:rFonts w:ascii="Times New Roman" w:hAnsi="Times New Roman"/>
          <w:sz w:val="24"/>
          <w:szCs w:val="24"/>
        </w:rPr>
        <w:t>/</w:t>
      </w:r>
      <w:r w:rsidR="000820E7" w:rsidRPr="00545DC3">
        <w:rPr>
          <w:rFonts w:ascii="Times New Roman" w:hAnsi="Times New Roman"/>
          <w:sz w:val="24"/>
          <w:szCs w:val="24"/>
        </w:rPr>
        <w:t>2</w:t>
      </w:r>
      <w:r w:rsidRPr="00545DC3">
        <w:rPr>
          <w:rFonts w:ascii="Times New Roman" w:hAnsi="Times New Roman"/>
          <w:sz w:val="24"/>
          <w:szCs w:val="24"/>
        </w:rPr>
        <w:t>0</w:t>
      </w:r>
      <w:r w:rsidR="000820E7" w:rsidRPr="00545DC3">
        <w:rPr>
          <w:rFonts w:ascii="Times New Roman" w:hAnsi="Times New Roman"/>
          <w:sz w:val="24"/>
          <w:szCs w:val="24"/>
        </w:rPr>
        <w:t>1</w:t>
      </w:r>
      <w:r w:rsidRPr="00545DC3">
        <w:rPr>
          <w:rFonts w:ascii="Times New Roman" w:hAnsi="Times New Roman"/>
          <w:sz w:val="24"/>
          <w:szCs w:val="24"/>
        </w:rPr>
        <w:t xml:space="preserve">6, questa stazione appaltante adotta la c.d. "soglia di sbarramento"; ne deriva che per poter procedere all'apertura dell'offerta economica è ritenuta ammissibile l'offerta tecnica che consegua almeno </w:t>
      </w:r>
      <w:r w:rsidR="00CB1E79" w:rsidRPr="00545DC3">
        <w:rPr>
          <w:rFonts w:ascii="Times New Roman" w:hAnsi="Times New Roman"/>
          <w:sz w:val="24"/>
          <w:szCs w:val="24"/>
        </w:rPr>
        <w:t>40</w:t>
      </w:r>
      <w:r w:rsidRPr="00545DC3">
        <w:rPr>
          <w:rFonts w:ascii="Times New Roman" w:hAnsi="Times New Roman"/>
          <w:sz w:val="24"/>
          <w:szCs w:val="24"/>
        </w:rPr>
        <w:t xml:space="preserve"> punti.</w:t>
      </w:r>
    </w:p>
    <w:p w:rsidR="00407F88" w:rsidRPr="00545DC3" w:rsidRDefault="00407F88" w:rsidP="00687DB8">
      <w:pPr>
        <w:spacing w:after="0" w:line="240" w:lineRule="atLeast"/>
        <w:ind w:left="284"/>
        <w:jc w:val="both"/>
        <w:rPr>
          <w:rFonts w:ascii="Times New Roman" w:hAnsi="Times New Roman"/>
          <w:sz w:val="24"/>
          <w:szCs w:val="24"/>
        </w:rPr>
      </w:pPr>
    </w:p>
    <w:p w:rsidR="00407F88" w:rsidRPr="00545DC3" w:rsidRDefault="00407F88" w:rsidP="00D65AC0">
      <w:pPr>
        <w:spacing w:after="0" w:line="240" w:lineRule="atLeast"/>
        <w:jc w:val="both"/>
        <w:rPr>
          <w:rFonts w:ascii="Times New Roman" w:hAnsi="Times New Roman"/>
          <w:b/>
          <w:sz w:val="24"/>
          <w:szCs w:val="24"/>
        </w:rPr>
      </w:pPr>
      <w:r w:rsidRPr="00545DC3">
        <w:rPr>
          <w:rFonts w:ascii="Times New Roman" w:hAnsi="Times New Roman"/>
          <w:b/>
          <w:sz w:val="24"/>
          <w:szCs w:val="24"/>
        </w:rPr>
        <w:t xml:space="preserve">OFFERTA ECONOMICA fino a punti </w:t>
      </w:r>
      <w:r w:rsidR="000820E7" w:rsidRPr="00545DC3">
        <w:rPr>
          <w:rFonts w:ascii="Times New Roman" w:hAnsi="Times New Roman"/>
          <w:b/>
          <w:sz w:val="24"/>
          <w:szCs w:val="24"/>
        </w:rPr>
        <w:t>1</w:t>
      </w:r>
      <w:r w:rsidRPr="00545DC3">
        <w:rPr>
          <w:rFonts w:ascii="Times New Roman" w:hAnsi="Times New Roman"/>
          <w:b/>
          <w:sz w:val="24"/>
          <w:szCs w:val="24"/>
        </w:rPr>
        <w:t>0</w:t>
      </w:r>
      <w:r w:rsidR="00952B26">
        <w:rPr>
          <w:rFonts w:ascii="Times New Roman" w:hAnsi="Times New Roman"/>
          <w:b/>
          <w:sz w:val="24"/>
          <w:szCs w:val="24"/>
        </w:rPr>
        <w:t xml:space="preserve"> </w:t>
      </w:r>
      <w:r w:rsidRPr="00545DC3">
        <w:rPr>
          <w:rFonts w:ascii="Times New Roman" w:hAnsi="Times New Roman"/>
          <w:b/>
          <w:sz w:val="24"/>
          <w:szCs w:val="24"/>
        </w:rPr>
        <w:t>di cui:</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 xml:space="preserve">B) VALUTAZIONE DELL'OFFERTA ECONOMICA (max punti </w:t>
      </w:r>
      <w:r w:rsidR="000820E7" w:rsidRPr="00545DC3">
        <w:rPr>
          <w:rFonts w:ascii="Times New Roman" w:hAnsi="Times New Roman"/>
          <w:sz w:val="24"/>
          <w:szCs w:val="24"/>
        </w:rPr>
        <w:t>1</w:t>
      </w:r>
      <w:r w:rsidRPr="00545DC3">
        <w:rPr>
          <w:rFonts w:ascii="Times New Roman" w:hAnsi="Times New Roman"/>
          <w:sz w:val="24"/>
          <w:szCs w:val="24"/>
        </w:rPr>
        <w:t>0</w:t>
      </w:r>
      <w:r w:rsidR="004D2DE8">
        <w:rPr>
          <w:rFonts w:ascii="Times New Roman" w:hAnsi="Times New Roman"/>
          <w:sz w:val="24"/>
          <w:szCs w:val="24"/>
        </w:rPr>
        <w:t>):</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L'offerta economica dovrà contenere l'indicazione delle provvigioni percentuali da porre a carico delle compagnie di assicurazione per il servizio prestato dal broker, per l'intera durata del contratto, secondo quanto previsto nella tabella seguente:</w:t>
      </w:r>
    </w:p>
    <w:p w:rsidR="004D2DE8" w:rsidRPr="004D2DE8" w:rsidRDefault="00407F88" w:rsidP="004D2DE8">
      <w:pPr>
        <w:pStyle w:val="Paragrafoelenco"/>
        <w:numPr>
          <w:ilvl w:val="0"/>
          <w:numId w:val="4"/>
        </w:numPr>
        <w:spacing w:after="0" w:line="240" w:lineRule="atLeast"/>
        <w:jc w:val="both"/>
        <w:rPr>
          <w:rFonts w:ascii="Times New Roman" w:hAnsi="Times New Roman"/>
          <w:sz w:val="24"/>
          <w:szCs w:val="24"/>
        </w:rPr>
      </w:pPr>
      <w:r w:rsidRPr="004D2DE8">
        <w:rPr>
          <w:rFonts w:ascii="Times New Roman" w:hAnsi="Times New Roman"/>
          <w:sz w:val="24"/>
          <w:szCs w:val="24"/>
        </w:rPr>
        <w:t xml:space="preserve">Provvigioni applicate sulle Polizze RCA - max punti </w:t>
      </w:r>
      <w:r w:rsidR="004D2DE8">
        <w:rPr>
          <w:rFonts w:ascii="Times New Roman" w:hAnsi="Times New Roman"/>
          <w:sz w:val="24"/>
          <w:szCs w:val="24"/>
        </w:rPr>
        <w:t>5</w:t>
      </w:r>
    </w:p>
    <w:p w:rsidR="00407F88" w:rsidRPr="004D2DE8" w:rsidRDefault="00407F88" w:rsidP="004D2DE8">
      <w:pPr>
        <w:spacing w:after="0" w:line="240" w:lineRule="atLeast"/>
        <w:jc w:val="both"/>
        <w:rPr>
          <w:rFonts w:ascii="Times New Roman" w:hAnsi="Times New Roman"/>
          <w:sz w:val="24"/>
          <w:szCs w:val="24"/>
        </w:rPr>
      </w:pPr>
      <w:r w:rsidRPr="004D2DE8">
        <w:rPr>
          <w:rFonts w:ascii="Times New Roman" w:hAnsi="Times New Roman"/>
          <w:sz w:val="24"/>
          <w:szCs w:val="24"/>
        </w:rPr>
        <w:t>Fino ad un massimo del 6%</w:t>
      </w:r>
      <w:r w:rsidRPr="004D2DE8">
        <w:rPr>
          <w:rFonts w:ascii="Times New Roman" w:hAnsi="Times New Roman"/>
          <w:sz w:val="24"/>
          <w:szCs w:val="24"/>
        </w:rPr>
        <w:tab/>
      </w:r>
      <w:r w:rsidR="00773F76">
        <w:rPr>
          <w:rFonts w:ascii="Times New Roman" w:hAnsi="Times New Roman"/>
          <w:sz w:val="24"/>
          <w:szCs w:val="24"/>
        </w:rPr>
        <w:tab/>
      </w:r>
      <w:r w:rsidRPr="004D2DE8">
        <w:rPr>
          <w:rFonts w:ascii="Times New Roman" w:hAnsi="Times New Roman"/>
          <w:sz w:val="24"/>
          <w:szCs w:val="24"/>
        </w:rPr>
        <w:t xml:space="preserve">Punti </w:t>
      </w:r>
      <w:r w:rsidR="008C41F5" w:rsidRPr="004D2DE8">
        <w:rPr>
          <w:rFonts w:ascii="Times New Roman" w:hAnsi="Times New Roman"/>
          <w:sz w:val="24"/>
          <w:szCs w:val="24"/>
        </w:rPr>
        <w:t>5</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w:t>
      </w:r>
      <w:r w:rsidR="005C4689">
        <w:rPr>
          <w:rFonts w:ascii="Times New Roman" w:hAnsi="Times New Roman"/>
          <w:sz w:val="24"/>
          <w:szCs w:val="24"/>
        </w:rPr>
        <w:t>l 6% e fino al 7%</w:t>
      </w:r>
      <w:r w:rsidR="005C4689">
        <w:rPr>
          <w:rFonts w:ascii="Times New Roman" w:hAnsi="Times New Roman"/>
          <w:sz w:val="24"/>
          <w:szCs w:val="24"/>
        </w:rPr>
        <w:tab/>
        <w:t xml:space="preserve">           </w:t>
      </w:r>
      <w:r w:rsidR="00773F76">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4</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7% e fino al 8%</w:t>
      </w:r>
      <w:r w:rsidRPr="00545DC3">
        <w:rPr>
          <w:rFonts w:ascii="Times New Roman" w:hAnsi="Times New Roman"/>
          <w:sz w:val="24"/>
          <w:szCs w:val="24"/>
        </w:rPr>
        <w:tab/>
        <w:t xml:space="preserve">           </w:t>
      </w:r>
      <w:r w:rsidR="00773F76">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3</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l'8% e fino ai 9%</w:t>
      </w:r>
      <w:r w:rsidRPr="00545DC3">
        <w:rPr>
          <w:rFonts w:ascii="Times New Roman" w:hAnsi="Times New Roman"/>
          <w:sz w:val="24"/>
          <w:szCs w:val="24"/>
        </w:rPr>
        <w:tab/>
        <w:t xml:space="preserve">           </w:t>
      </w:r>
      <w:r w:rsidR="00773F76">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2</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9%</w:t>
      </w:r>
      <w:r w:rsidRPr="00545DC3">
        <w:rPr>
          <w:rFonts w:ascii="Times New Roman" w:hAnsi="Times New Roman"/>
          <w:sz w:val="24"/>
          <w:szCs w:val="24"/>
        </w:rPr>
        <w:tab/>
        <w:t xml:space="preserve">                         </w:t>
      </w:r>
      <w:r w:rsidR="005C4689">
        <w:rPr>
          <w:rFonts w:ascii="Times New Roman" w:hAnsi="Times New Roman"/>
          <w:sz w:val="24"/>
          <w:szCs w:val="24"/>
        </w:rPr>
        <w:t xml:space="preserve">       </w:t>
      </w:r>
      <w:r w:rsidR="00C27625">
        <w:rPr>
          <w:rFonts w:ascii="Times New Roman" w:hAnsi="Times New Roman"/>
          <w:sz w:val="24"/>
          <w:szCs w:val="24"/>
        </w:rPr>
        <w:t xml:space="preserve">   </w:t>
      </w:r>
      <w:r w:rsidR="00773F76">
        <w:rPr>
          <w:rFonts w:ascii="Times New Roman" w:hAnsi="Times New Roman"/>
          <w:sz w:val="24"/>
          <w:szCs w:val="24"/>
        </w:rPr>
        <w:tab/>
      </w:r>
      <w:r w:rsidRPr="00545DC3">
        <w:rPr>
          <w:rFonts w:ascii="Times New Roman" w:hAnsi="Times New Roman"/>
          <w:sz w:val="24"/>
          <w:szCs w:val="24"/>
        </w:rPr>
        <w:t>Punti 0</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 xml:space="preserve">2) Provvigioni applicate sulle Polizze diverse dalla RCA— max punti </w:t>
      </w:r>
      <w:r w:rsidR="004D2DE8">
        <w:rPr>
          <w:rFonts w:ascii="Times New Roman" w:hAnsi="Times New Roman"/>
          <w:sz w:val="24"/>
          <w:szCs w:val="24"/>
        </w:rPr>
        <w:t>5</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Fino ad un massimo del 1</w:t>
      </w:r>
      <w:r w:rsidR="00F31FCC">
        <w:rPr>
          <w:rFonts w:ascii="Times New Roman" w:hAnsi="Times New Roman"/>
          <w:sz w:val="24"/>
          <w:szCs w:val="24"/>
        </w:rPr>
        <w:t>2</w:t>
      </w:r>
      <w:r w:rsidRPr="00545DC3">
        <w:rPr>
          <w:rFonts w:ascii="Times New Roman" w:hAnsi="Times New Roman"/>
          <w:sz w:val="24"/>
          <w:szCs w:val="24"/>
        </w:rPr>
        <w:t>%</w:t>
      </w:r>
      <w:r w:rsidRPr="00545DC3">
        <w:rPr>
          <w:rFonts w:ascii="Times New Roman" w:hAnsi="Times New Roman"/>
          <w:sz w:val="24"/>
          <w:szCs w:val="24"/>
        </w:rPr>
        <w:tab/>
      </w:r>
      <w:r w:rsidR="005C4689">
        <w:rPr>
          <w:rFonts w:ascii="Times New Roman" w:hAnsi="Times New Roman"/>
          <w:sz w:val="24"/>
          <w:szCs w:val="24"/>
        </w:rPr>
        <w:tab/>
      </w:r>
      <w:r w:rsidRPr="00545DC3">
        <w:rPr>
          <w:rFonts w:ascii="Times New Roman" w:hAnsi="Times New Roman"/>
          <w:sz w:val="24"/>
          <w:szCs w:val="24"/>
        </w:rPr>
        <w:t xml:space="preserve">Punti </w:t>
      </w:r>
      <w:r w:rsidR="00CA4A41">
        <w:rPr>
          <w:rFonts w:ascii="Times New Roman" w:hAnsi="Times New Roman"/>
          <w:sz w:val="24"/>
          <w:szCs w:val="24"/>
        </w:rPr>
        <w:t xml:space="preserve"> </w:t>
      </w:r>
      <w:r w:rsidR="008C41F5" w:rsidRPr="00545DC3">
        <w:rPr>
          <w:rFonts w:ascii="Times New Roman" w:hAnsi="Times New Roman"/>
          <w:sz w:val="24"/>
          <w:szCs w:val="24"/>
        </w:rPr>
        <w:t>5</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1</w:t>
      </w:r>
      <w:r w:rsidR="00F31FCC">
        <w:rPr>
          <w:rFonts w:ascii="Times New Roman" w:hAnsi="Times New Roman"/>
          <w:sz w:val="24"/>
          <w:szCs w:val="24"/>
        </w:rPr>
        <w:t>2</w:t>
      </w:r>
      <w:r w:rsidRPr="00545DC3">
        <w:rPr>
          <w:rFonts w:ascii="Times New Roman" w:hAnsi="Times New Roman"/>
          <w:sz w:val="24"/>
          <w:szCs w:val="24"/>
        </w:rPr>
        <w:t>% e fino al 1</w:t>
      </w:r>
      <w:r w:rsidR="00F31FCC">
        <w:rPr>
          <w:rFonts w:ascii="Times New Roman" w:hAnsi="Times New Roman"/>
          <w:sz w:val="24"/>
          <w:szCs w:val="24"/>
        </w:rPr>
        <w:t>3</w:t>
      </w:r>
      <w:r w:rsidRPr="00545DC3">
        <w:rPr>
          <w:rFonts w:ascii="Times New Roman" w:hAnsi="Times New Roman"/>
          <w:sz w:val="24"/>
          <w:szCs w:val="24"/>
        </w:rPr>
        <w:t>%</w:t>
      </w:r>
      <w:r w:rsidRPr="00545DC3">
        <w:rPr>
          <w:rFonts w:ascii="Times New Roman" w:hAnsi="Times New Roman"/>
          <w:sz w:val="24"/>
          <w:szCs w:val="24"/>
        </w:rPr>
        <w:tab/>
      </w:r>
      <w:r w:rsidR="005C4689">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4</w:t>
      </w:r>
    </w:p>
    <w:p w:rsidR="00407F88" w:rsidRPr="00545DC3" w:rsidRDefault="00AB182A" w:rsidP="007C3AD1">
      <w:pPr>
        <w:spacing w:after="0" w:line="240" w:lineRule="atLeast"/>
        <w:jc w:val="both"/>
        <w:rPr>
          <w:rFonts w:ascii="Times New Roman" w:hAnsi="Times New Roman"/>
          <w:sz w:val="24"/>
          <w:szCs w:val="24"/>
        </w:rPr>
      </w:pPr>
      <w:r>
        <w:rPr>
          <w:rFonts w:ascii="Times New Roman" w:hAnsi="Times New Roman"/>
          <w:sz w:val="24"/>
          <w:szCs w:val="24"/>
        </w:rPr>
        <w:t>Oltre il</w:t>
      </w:r>
      <w:r w:rsidR="00407F88" w:rsidRPr="00545DC3">
        <w:rPr>
          <w:rFonts w:ascii="Times New Roman" w:hAnsi="Times New Roman"/>
          <w:sz w:val="24"/>
          <w:szCs w:val="24"/>
        </w:rPr>
        <w:t>1</w:t>
      </w:r>
      <w:r w:rsidR="00F31FCC">
        <w:rPr>
          <w:rFonts w:ascii="Times New Roman" w:hAnsi="Times New Roman"/>
          <w:sz w:val="24"/>
          <w:szCs w:val="24"/>
        </w:rPr>
        <w:t>3</w:t>
      </w:r>
      <w:r w:rsidR="00407F88" w:rsidRPr="00545DC3">
        <w:rPr>
          <w:rFonts w:ascii="Times New Roman" w:hAnsi="Times New Roman"/>
          <w:sz w:val="24"/>
          <w:szCs w:val="24"/>
        </w:rPr>
        <w:t>%  e fino al 1</w:t>
      </w:r>
      <w:r w:rsidR="00F31FCC">
        <w:rPr>
          <w:rFonts w:ascii="Times New Roman" w:hAnsi="Times New Roman"/>
          <w:sz w:val="24"/>
          <w:szCs w:val="24"/>
        </w:rPr>
        <w:t>4</w:t>
      </w:r>
      <w:r w:rsidR="00407F88" w:rsidRPr="00545DC3">
        <w:rPr>
          <w:rFonts w:ascii="Times New Roman" w:hAnsi="Times New Roman"/>
          <w:sz w:val="24"/>
          <w:szCs w:val="24"/>
        </w:rPr>
        <w:t>%</w:t>
      </w:r>
      <w:r w:rsidR="00407F88" w:rsidRPr="00545DC3">
        <w:rPr>
          <w:rFonts w:ascii="Times New Roman" w:hAnsi="Times New Roman"/>
          <w:sz w:val="24"/>
          <w:szCs w:val="24"/>
        </w:rPr>
        <w:tab/>
      </w:r>
      <w:r w:rsidR="005C4689">
        <w:rPr>
          <w:rFonts w:ascii="Times New Roman" w:hAnsi="Times New Roman"/>
          <w:sz w:val="24"/>
          <w:szCs w:val="24"/>
        </w:rPr>
        <w:tab/>
      </w:r>
      <w:r w:rsidR="00407F88" w:rsidRPr="00545DC3">
        <w:rPr>
          <w:rFonts w:ascii="Times New Roman" w:hAnsi="Times New Roman"/>
          <w:sz w:val="24"/>
          <w:szCs w:val="24"/>
        </w:rPr>
        <w:t xml:space="preserve">Punti  </w:t>
      </w:r>
      <w:r w:rsidR="008C41F5" w:rsidRPr="00545DC3">
        <w:rPr>
          <w:rFonts w:ascii="Times New Roman" w:hAnsi="Times New Roman"/>
          <w:sz w:val="24"/>
          <w:szCs w:val="24"/>
        </w:rPr>
        <w:t>3</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1</w:t>
      </w:r>
      <w:r w:rsidR="00F31FCC">
        <w:rPr>
          <w:rFonts w:ascii="Times New Roman" w:hAnsi="Times New Roman"/>
          <w:sz w:val="24"/>
          <w:szCs w:val="24"/>
        </w:rPr>
        <w:t>4</w:t>
      </w:r>
      <w:r w:rsidRPr="00545DC3">
        <w:rPr>
          <w:rFonts w:ascii="Times New Roman" w:hAnsi="Times New Roman"/>
          <w:sz w:val="24"/>
          <w:szCs w:val="24"/>
        </w:rPr>
        <w:t>% e fino al 1</w:t>
      </w:r>
      <w:r w:rsidR="00F31FCC">
        <w:rPr>
          <w:rFonts w:ascii="Times New Roman" w:hAnsi="Times New Roman"/>
          <w:sz w:val="24"/>
          <w:szCs w:val="24"/>
        </w:rPr>
        <w:t>5</w:t>
      </w:r>
      <w:r w:rsidRPr="00545DC3">
        <w:rPr>
          <w:rFonts w:ascii="Times New Roman" w:hAnsi="Times New Roman"/>
          <w:sz w:val="24"/>
          <w:szCs w:val="24"/>
        </w:rPr>
        <w:t>%</w:t>
      </w:r>
      <w:r w:rsidRPr="00545DC3">
        <w:rPr>
          <w:rFonts w:ascii="Times New Roman" w:hAnsi="Times New Roman"/>
          <w:sz w:val="24"/>
          <w:szCs w:val="24"/>
        </w:rPr>
        <w:tab/>
      </w:r>
      <w:r w:rsidR="005C4689">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2</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1</w:t>
      </w:r>
      <w:r w:rsidR="00F31FCC">
        <w:rPr>
          <w:rFonts w:ascii="Times New Roman" w:hAnsi="Times New Roman"/>
          <w:sz w:val="24"/>
          <w:szCs w:val="24"/>
        </w:rPr>
        <w:t>5</w:t>
      </w:r>
      <w:r w:rsidRPr="00545DC3">
        <w:rPr>
          <w:rFonts w:ascii="Times New Roman" w:hAnsi="Times New Roman"/>
          <w:sz w:val="24"/>
          <w:szCs w:val="24"/>
        </w:rPr>
        <w:t>% e fino al 1</w:t>
      </w:r>
      <w:r w:rsidR="00F31FCC">
        <w:rPr>
          <w:rFonts w:ascii="Times New Roman" w:hAnsi="Times New Roman"/>
          <w:sz w:val="24"/>
          <w:szCs w:val="24"/>
        </w:rPr>
        <w:t>6</w:t>
      </w:r>
      <w:r w:rsidRPr="00545DC3">
        <w:rPr>
          <w:rFonts w:ascii="Times New Roman" w:hAnsi="Times New Roman"/>
          <w:sz w:val="24"/>
          <w:szCs w:val="24"/>
        </w:rPr>
        <w:t>%</w:t>
      </w:r>
      <w:r w:rsidRPr="00545DC3">
        <w:rPr>
          <w:rFonts w:ascii="Times New Roman" w:hAnsi="Times New Roman"/>
          <w:sz w:val="24"/>
          <w:szCs w:val="24"/>
        </w:rPr>
        <w:tab/>
      </w:r>
      <w:r w:rsidR="005C4689">
        <w:rPr>
          <w:rFonts w:ascii="Times New Roman" w:hAnsi="Times New Roman"/>
          <w:sz w:val="24"/>
          <w:szCs w:val="24"/>
        </w:rPr>
        <w:tab/>
      </w:r>
      <w:r w:rsidRPr="00545DC3">
        <w:rPr>
          <w:rFonts w:ascii="Times New Roman" w:hAnsi="Times New Roman"/>
          <w:sz w:val="24"/>
          <w:szCs w:val="24"/>
        </w:rPr>
        <w:t xml:space="preserve">Punti  </w:t>
      </w:r>
      <w:r w:rsidR="008C41F5" w:rsidRPr="00545DC3">
        <w:rPr>
          <w:rFonts w:ascii="Times New Roman" w:hAnsi="Times New Roman"/>
          <w:sz w:val="24"/>
          <w:szCs w:val="24"/>
        </w:rPr>
        <w:t>1</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Oltre il 1</w:t>
      </w:r>
      <w:r w:rsidR="00F31FCC">
        <w:rPr>
          <w:rFonts w:ascii="Times New Roman" w:hAnsi="Times New Roman"/>
          <w:sz w:val="24"/>
          <w:szCs w:val="24"/>
        </w:rPr>
        <w:t>6</w:t>
      </w:r>
      <w:r w:rsidRPr="00545DC3">
        <w:rPr>
          <w:rFonts w:ascii="Times New Roman" w:hAnsi="Times New Roman"/>
          <w:sz w:val="24"/>
          <w:szCs w:val="24"/>
        </w:rPr>
        <w:t>%</w:t>
      </w:r>
      <w:r w:rsidR="008C41F5" w:rsidRPr="00545DC3">
        <w:rPr>
          <w:rFonts w:ascii="Times New Roman" w:hAnsi="Times New Roman"/>
          <w:sz w:val="24"/>
          <w:szCs w:val="24"/>
        </w:rPr>
        <w:t xml:space="preserve"> </w:t>
      </w:r>
      <w:r w:rsidRPr="00545DC3">
        <w:rPr>
          <w:rFonts w:ascii="Times New Roman" w:hAnsi="Times New Roman"/>
          <w:sz w:val="24"/>
          <w:szCs w:val="24"/>
        </w:rPr>
        <w:t xml:space="preserve"> </w:t>
      </w:r>
      <w:r w:rsidRPr="00545DC3">
        <w:rPr>
          <w:rFonts w:ascii="Times New Roman" w:hAnsi="Times New Roman"/>
          <w:sz w:val="24"/>
          <w:szCs w:val="24"/>
        </w:rPr>
        <w:tab/>
        <w:t xml:space="preserve">                            </w:t>
      </w:r>
      <w:r w:rsidR="005C4689">
        <w:rPr>
          <w:rFonts w:ascii="Times New Roman" w:hAnsi="Times New Roman"/>
          <w:sz w:val="24"/>
          <w:szCs w:val="24"/>
        </w:rPr>
        <w:tab/>
      </w:r>
      <w:r w:rsidRPr="00545DC3">
        <w:rPr>
          <w:rFonts w:ascii="Times New Roman" w:hAnsi="Times New Roman"/>
          <w:sz w:val="24"/>
          <w:szCs w:val="24"/>
        </w:rPr>
        <w:t>Punti  0</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In caso di discordanza fra l'offerta espressa in cifre e l'offerta espressa in lettere è ritenuta valida quella più vantaggiosa per l'Amministrazione.</w:t>
      </w:r>
    </w:p>
    <w:p w:rsidR="00CA4A41" w:rsidRDefault="00CA4A41" w:rsidP="00CA4A41">
      <w:pPr>
        <w:spacing w:after="0" w:line="240" w:lineRule="atLeast"/>
        <w:jc w:val="both"/>
        <w:rPr>
          <w:rFonts w:ascii="Times New Roman" w:hAnsi="Times New Roman"/>
          <w:sz w:val="24"/>
          <w:szCs w:val="24"/>
        </w:rPr>
      </w:pPr>
      <w:r>
        <w:rPr>
          <w:rFonts w:ascii="Times New Roman" w:hAnsi="Times New Roman"/>
          <w:sz w:val="24"/>
          <w:szCs w:val="24"/>
        </w:rPr>
        <w:t>I punteggi dei singoli criteri verranno sommati per ottenere il definitivo punteggio dell’offerta economica.</w:t>
      </w:r>
    </w:p>
    <w:p w:rsidR="00407F88" w:rsidRPr="00545DC3" w:rsidRDefault="00407F88" w:rsidP="007C3AD1">
      <w:pPr>
        <w:spacing w:after="0" w:line="240" w:lineRule="atLeast"/>
        <w:jc w:val="both"/>
        <w:rPr>
          <w:rFonts w:ascii="Times New Roman" w:hAnsi="Times New Roman"/>
          <w:b/>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 11 - Garanzia fideiussoria e Polizza assicurativa</w:t>
      </w:r>
    </w:p>
    <w:p w:rsidR="00407F88" w:rsidRPr="009C58C8"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valo</w:t>
      </w:r>
      <w:r w:rsidR="00414DE9" w:rsidRPr="00545DC3">
        <w:rPr>
          <w:rFonts w:ascii="Times New Roman" w:hAnsi="Times New Roman"/>
          <w:sz w:val="24"/>
          <w:szCs w:val="24"/>
        </w:rPr>
        <w:t>re dell'appalto ammonta ad</w:t>
      </w:r>
      <w:r w:rsidR="00FF3BD1">
        <w:rPr>
          <w:rFonts w:ascii="Times New Roman" w:hAnsi="Times New Roman"/>
          <w:sz w:val="24"/>
          <w:szCs w:val="24"/>
        </w:rPr>
        <w:t xml:space="preserve"> €.38.305,97=</w:t>
      </w:r>
      <w:r w:rsidRPr="009C58C8">
        <w:rPr>
          <w:rFonts w:ascii="Times New Roman" w:hAnsi="Times New Roman"/>
          <w:sz w:val="24"/>
          <w:szCs w:val="24"/>
        </w:rPr>
        <w:t>, pertanto l'impresa affidataria dovrà presentare, prima della stipula del contratto, una cauzione definitiva pari al 10</w:t>
      </w:r>
      <w:r w:rsidR="008E330C">
        <w:rPr>
          <w:rFonts w:ascii="Times New Roman" w:hAnsi="Times New Roman"/>
          <w:sz w:val="24"/>
          <w:szCs w:val="24"/>
        </w:rPr>
        <w:t>% fissata in €.3.</w:t>
      </w:r>
      <w:r w:rsidR="00DC210E">
        <w:rPr>
          <w:rFonts w:ascii="Times New Roman" w:hAnsi="Times New Roman"/>
          <w:sz w:val="24"/>
          <w:szCs w:val="24"/>
        </w:rPr>
        <w:t>830,59</w:t>
      </w:r>
      <w:r w:rsidR="008E330C">
        <w:rPr>
          <w:rFonts w:ascii="Times New Roman" w:hAnsi="Times New Roman"/>
          <w:sz w:val="24"/>
          <w:szCs w:val="24"/>
        </w:rPr>
        <w:t>=</w:t>
      </w:r>
      <w:r w:rsidR="00414DE9" w:rsidRPr="009C58C8">
        <w:rPr>
          <w:rFonts w:ascii="Times New Roman" w:hAnsi="Times New Roman"/>
          <w:color w:val="000000"/>
          <w:sz w:val="24"/>
          <w:szCs w:val="24"/>
        </w:rPr>
        <w:t xml:space="preserve"> </w:t>
      </w:r>
      <w:r w:rsidR="008E330C">
        <w:rPr>
          <w:rFonts w:ascii="Times New Roman" w:hAnsi="Times New Roman"/>
          <w:sz w:val="24"/>
          <w:szCs w:val="24"/>
        </w:rPr>
        <w:t>(euro tremila</w:t>
      </w:r>
      <w:r w:rsidR="00DC210E">
        <w:rPr>
          <w:rFonts w:ascii="Times New Roman" w:hAnsi="Times New Roman"/>
          <w:sz w:val="24"/>
          <w:szCs w:val="24"/>
        </w:rPr>
        <w:t>ottocentotrenta</w:t>
      </w:r>
      <w:r w:rsidR="003E72CC">
        <w:rPr>
          <w:rFonts w:ascii="Times New Roman" w:hAnsi="Times New Roman"/>
          <w:sz w:val="24"/>
          <w:szCs w:val="24"/>
        </w:rPr>
        <w:t>/5</w:t>
      </w:r>
      <w:r w:rsidR="00DC210E">
        <w:rPr>
          <w:rFonts w:ascii="Times New Roman" w:hAnsi="Times New Roman"/>
          <w:sz w:val="24"/>
          <w:szCs w:val="24"/>
        </w:rPr>
        <w:t>9</w:t>
      </w:r>
      <w:r w:rsidRPr="009C58C8">
        <w:rPr>
          <w:rFonts w:ascii="Times New Roman" w:hAnsi="Times New Roman"/>
          <w:sz w:val="24"/>
          <w:szCs w:val="24"/>
        </w:rPr>
        <w:t>), con le forme e le caratteristiche previste dal D.</w:t>
      </w:r>
      <w:r w:rsidR="00435A84">
        <w:rPr>
          <w:rFonts w:ascii="Times New Roman" w:hAnsi="Times New Roman"/>
          <w:sz w:val="24"/>
          <w:szCs w:val="24"/>
        </w:rPr>
        <w:t xml:space="preserve"> </w:t>
      </w:r>
      <w:r w:rsidRPr="009C58C8">
        <w:rPr>
          <w:rFonts w:ascii="Times New Roman" w:hAnsi="Times New Roman"/>
          <w:sz w:val="24"/>
          <w:szCs w:val="24"/>
        </w:rPr>
        <w:t xml:space="preserve">Lgs. </w:t>
      </w:r>
      <w:r w:rsidR="000820E7" w:rsidRPr="009C58C8">
        <w:rPr>
          <w:rFonts w:ascii="Times New Roman" w:hAnsi="Times New Roman"/>
          <w:sz w:val="24"/>
          <w:szCs w:val="24"/>
        </w:rPr>
        <w:t>50/2016</w:t>
      </w:r>
      <w:r w:rsidRPr="009C58C8">
        <w:rPr>
          <w:rFonts w:ascii="Times New Roman" w:hAnsi="Times New Roman"/>
          <w:sz w:val="24"/>
          <w:szCs w:val="24"/>
        </w:rPr>
        <w:t>.</w:t>
      </w:r>
    </w:p>
    <w:p w:rsidR="00407F88" w:rsidRPr="00545DC3" w:rsidRDefault="00407F88" w:rsidP="007C3AD1">
      <w:pPr>
        <w:spacing w:after="0" w:line="240" w:lineRule="atLeast"/>
        <w:jc w:val="both"/>
        <w:rPr>
          <w:rFonts w:ascii="Times New Roman" w:hAnsi="Times New Roman"/>
          <w:sz w:val="24"/>
          <w:szCs w:val="24"/>
        </w:rPr>
      </w:pPr>
      <w:r w:rsidRPr="009C58C8">
        <w:rPr>
          <w:rFonts w:ascii="Times New Roman" w:hAnsi="Times New Roman"/>
          <w:sz w:val="24"/>
          <w:szCs w:val="24"/>
        </w:rPr>
        <w:lastRenderedPageBreak/>
        <w:t>Tale cauzione verrà svincolata e restituita alla società al termine del contratto di appalto del servizio, senza interessi, previo accer</w:t>
      </w:r>
      <w:r w:rsidR="00A62EB9">
        <w:rPr>
          <w:rFonts w:ascii="Times New Roman" w:hAnsi="Times New Roman"/>
          <w:sz w:val="24"/>
          <w:szCs w:val="24"/>
        </w:rPr>
        <w:t>tamento che la società affida</w:t>
      </w:r>
      <w:r w:rsidRPr="009C58C8">
        <w:rPr>
          <w:rFonts w:ascii="Times New Roman" w:hAnsi="Times New Roman"/>
          <w:sz w:val="24"/>
          <w:szCs w:val="24"/>
        </w:rPr>
        <w:t>taria abbia adempiuto interamente a quanto previsto nel contratto d'appalto.</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 xml:space="preserve">Il broker è tenuto a presentare polizza assicurativa per responsabilità </w:t>
      </w:r>
      <w:r w:rsidR="00532545">
        <w:rPr>
          <w:rFonts w:ascii="Times New Roman" w:hAnsi="Times New Roman"/>
          <w:sz w:val="24"/>
          <w:szCs w:val="24"/>
        </w:rPr>
        <w:t xml:space="preserve">civile </w:t>
      </w:r>
      <w:r w:rsidRPr="00545DC3">
        <w:rPr>
          <w:rFonts w:ascii="Times New Roman" w:hAnsi="Times New Roman"/>
          <w:sz w:val="24"/>
          <w:szCs w:val="24"/>
        </w:rPr>
        <w:t xml:space="preserve">professionale relativamente ai danni a cose e/o persone </w:t>
      </w:r>
      <w:r w:rsidR="00532545">
        <w:rPr>
          <w:rFonts w:ascii="Times New Roman" w:hAnsi="Times New Roman"/>
          <w:sz w:val="24"/>
          <w:szCs w:val="24"/>
        </w:rPr>
        <w:t>che si verificheranno</w:t>
      </w:r>
      <w:r w:rsidRPr="00545DC3">
        <w:rPr>
          <w:rFonts w:ascii="Times New Roman" w:hAnsi="Times New Roman"/>
          <w:sz w:val="24"/>
          <w:szCs w:val="24"/>
        </w:rPr>
        <w:t xml:space="preserve"> in corso di esecuzione del servizio, per una somma assicurata non inferiore ad € 2.500.000,00</w:t>
      </w:r>
      <w:r w:rsidR="004D2DE8">
        <w:rPr>
          <w:rFonts w:ascii="Times New Roman" w:hAnsi="Times New Roman"/>
          <w:sz w:val="24"/>
          <w:szCs w:val="24"/>
        </w:rPr>
        <w:t>=</w:t>
      </w:r>
      <w:r w:rsidRPr="00545DC3">
        <w:rPr>
          <w:rFonts w:ascii="Times New Roman" w:hAnsi="Times New Roman"/>
          <w:sz w:val="24"/>
          <w:szCs w:val="24"/>
        </w:rPr>
        <w:t xml:space="preserve"> con l'obbligo di tenere le condizioni di detta polizza, o altra equivalente, per tutta la durata dell'incarico.</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Art.12- Spese contrattuali</w:t>
      </w:r>
    </w:p>
    <w:p w:rsidR="00407F88" w:rsidRPr="00545DC3" w:rsidRDefault="00B917E5" w:rsidP="007C3AD1">
      <w:pPr>
        <w:spacing w:after="0" w:line="240" w:lineRule="atLeast"/>
        <w:jc w:val="both"/>
        <w:rPr>
          <w:rFonts w:ascii="Times New Roman" w:hAnsi="Times New Roman"/>
          <w:sz w:val="24"/>
          <w:szCs w:val="24"/>
        </w:rPr>
      </w:pPr>
      <w:r w:rsidRPr="00545DC3">
        <w:rPr>
          <w:rFonts w:ascii="Times New Roman" w:hAnsi="Times New Roman"/>
          <w:sz w:val="24"/>
          <w:szCs w:val="24"/>
        </w:rPr>
        <w:t>Tutte le spese contrattuali</w:t>
      </w:r>
      <w:r w:rsidR="00407F88" w:rsidRPr="00545DC3">
        <w:rPr>
          <w:rFonts w:ascii="Times New Roman" w:hAnsi="Times New Roman"/>
          <w:sz w:val="24"/>
          <w:szCs w:val="24"/>
        </w:rPr>
        <w:t xml:space="preserve"> saranno ad esclusivo carico del broker aggiudicatario.</w:t>
      </w:r>
    </w:p>
    <w:p w:rsidR="00407F88" w:rsidRPr="00545DC3" w:rsidRDefault="00B917E5" w:rsidP="007C3AD1">
      <w:pPr>
        <w:spacing w:after="0" w:line="240" w:lineRule="atLeast"/>
        <w:jc w:val="both"/>
        <w:rPr>
          <w:rFonts w:ascii="Times New Roman" w:hAnsi="Times New Roman"/>
          <w:sz w:val="24"/>
          <w:szCs w:val="24"/>
        </w:rPr>
      </w:pPr>
      <w:r w:rsidRPr="00545DC3">
        <w:rPr>
          <w:rFonts w:ascii="Times New Roman" w:hAnsi="Times New Roman"/>
          <w:sz w:val="24"/>
          <w:szCs w:val="24"/>
        </w:rPr>
        <w:t>Il contratto verrà stipulato nella forma della scrittura privata</w:t>
      </w:r>
      <w:r w:rsidR="00BC4C92">
        <w:rPr>
          <w:rFonts w:ascii="Times New Roman" w:hAnsi="Times New Roman"/>
          <w:sz w:val="24"/>
          <w:szCs w:val="24"/>
        </w:rPr>
        <w:t xml:space="preserve"> per </w:t>
      </w:r>
      <w:r w:rsidR="002F4647">
        <w:rPr>
          <w:rFonts w:ascii="Times New Roman" w:hAnsi="Times New Roman"/>
          <w:sz w:val="24"/>
          <w:szCs w:val="24"/>
        </w:rPr>
        <w:t xml:space="preserve">cui </w:t>
      </w:r>
      <w:r w:rsidR="00BC4C92">
        <w:rPr>
          <w:rFonts w:ascii="Times New Roman" w:hAnsi="Times New Roman"/>
          <w:sz w:val="24"/>
          <w:szCs w:val="24"/>
        </w:rPr>
        <w:t>non soggetta a registrazione ai sensi dell’art. 7 della Tabella – Atti per i quali non vi è l’obbligo di richiedere la registrazione ai sensi del D.P.R. n. 131/1986</w:t>
      </w:r>
      <w:r w:rsidRPr="00545DC3">
        <w:rPr>
          <w:rFonts w:ascii="Times New Roman" w:hAnsi="Times New Roman"/>
          <w:sz w:val="24"/>
          <w:szCs w:val="24"/>
        </w:rPr>
        <w:t>.</w:t>
      </w:r>
    </w:p>
    <w:p w:rsidR="00B917E5" w:rsidRPr="00545DC3" w:rsidRDefault="00B917E5" w:rsidP="007C3AD1">
      <w:pPr>
        <w:spacing w:after="0" w:line="240" w:lineRule="atLeast"/>
        <w:jc w:val="both"/>
        <w:rPr>
          <w:rFonts w:ascii="Times New Roman" w:hAnsi="Times New Roman"/>
          <w:b/>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ART.13 - Inadempienze contrattuali</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Comune ha facoltà di verificare in ogni momento, tramite i propri dipendenti e funzionari il regolare funzionamento del Servizio. In caso di grave e documentata inadempienza da parte del broker, il Comune si rivarrà incamerando, anche in parte, la cauzione definitiva secondo i criteri di proporzionalità e ragionevolezza, fatto salvo il diritto di recesso di cui al comma successivo.</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 xml:space="preserve">L'Ente si riserva la facoltà di revocare in qualsiasi momento l'incarico all'aggiudicatario con preavviso di 30 giorni qualora si verificasse da parte di questo il ripetersi di inadempienze rispetto agli impegni assunti in sede contrattuale; in tal caso il contratto si risolverà di diritto ai sensi dell'art. 1456 c.c. Nei casi di violazione degli obblighi contrattuali previsti nel presente capitolato speciale, il Comune provvederà a formalizzare contestazione scritta a mezzo raccomandata con ricevuta di ritorno, assegnando al Broker 15 giorni per adempiere ovvero per produrre controdeduzioni scritte. </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In caso di persistente inadempimento e ove le controdeduzioni non fossero pervenute entro il termine prescritto o non fossero ritenute idonee a giustificare il comportamento del broker</w:t>
      </w:r>
      <w:r w:rsidR="00E237E3">
        <w:rPr>
          <w:rFonts w:ascii="Times New Roman" w:hAnsi="Times New Roman"/>
          <w:sz w:val="24"/>
          <w:szCs w:val="24"/>
        </w:rPr>
        <w:t xml:space="preserve"> </w:t>
      </w:r>
      <w:r w:rsidRPr="00545DC3">
        <w:rPr>
          <w:rFonts w:ascii="Times New Roman" w:hAnsi="Times New Roman"/>
          <w:sz w:val="24"/>
          <w:szCs w:val="24"/>
        </w:rPr>
        <w:t>verrà applicata, per ogni singola violazione, una penale nella misura di €</w:t>
      </w:r>
      <w:r w:rsidR="009110BF">
        <w:rPr>
          <w:rFonts w:ascii="Times New Roman" w:hAnsi="Times New Roman"/>
          <w:sz w:val="24"/>
          <w:szCs w:val="24"/>
        </w:rPr>
        <w:t>.</w:t>
      </w:r>
      <w:r w:rsidRPr="00545DC3">
        <w:rPr>
          <w:rFonts w:ascii="Times New Roman" w:hAnsi="Times New Roman"/>
          <w:sz w:val="24"/>
          <w:szCs w:val="24"/>
        </w:rPr>
        <w:t>100,00</w:t>
      </w:r>
      <w:r w:rsidR="009110BF">
        <w:rPr>
          <w:rFonts w:ascii="Times New Roman" w:hAnsi="Times New Roman"/>
          <w:sz w:val="24"/>
          <w:szCs w:val="24"/>
        </w:rPr>
        <w:t xml:space="preserve"> (cento/00)</w:t>
      </w:r>
      <w:r w:rsidRPr="00545DC3">
        <w:rPr>
          <w:rFonts w:ascii="Times New Roman" w:hAnsi="Times New Roman"/>
          <w:sz w:val="24"/>
          <w:szCs w:val="24"/>
        </w:rPr>
        <w:t xml:space="preserve"> per ogni ritardo nell'inadempimento rispetto ai termini indicati dall'Ente per l'esecuzione delle prestazioni contrattuali, salvo l'eventuale diritto alla richiesta di risarcimento del danno.</w:t>
      </w:r>
    </w:p>
    <w:p w:rsidR="00407F88" w:rsidRPr="00545DC3" w:rsidRDefault="00407F88" w:rsidP="007C3AD1">
      <w:pPr>
        <w:spacing w:after="0" w:line="240" w:lineRule="atLeast"/>
        <w:jc w:val="both"/>
        <w:rPr>
          <w:rFonts w:ascii="Times New Roman" w:hAnsi="Times New Roman"/>
          <w:sz w:val="24"/>
          <w:szCs w:val="24"/>
        </w:rPr>
      </w:pPr>
    </w:p>
    <w:p w:rsidR="00407F88" w:rsidRPr="00545DC3" w:rsidRDefault="00407F88" w:rsidP="007C3AD1">
      <w:pPr>
        <w:spacing w:after="0" w:line="240" w:lineRule="atLeast"/>
        <w:jc w:val="both"/>
        <w:rPr>
          <w:rFonts w:ascii="Times New Roman" w:hAnsi="Times New Roman"/>
          <w:b/>
          <w:sz w:val="24"/>
          <w:szCs w:val="24"/>
        </w:rPr>
      </w:pPr>
      <w:r w:rsidRPr="00545DC3">
        <w:rPr>
          <w:rFonts w:ascii="Times New Roman" w:hAnsi="Times New Roman"/>
          <w:b/>
          <w:sz w:val="24"/>
          <w:szCs w:val="24"/>
        </w:rPr>
        <w:t>ART. 14 - Trattamento dei dati personali</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 xml:space="preserve">Ai sensi del </w:t>
      </w:r>
      <w:r w:rsidR="00435A84">
        <w:rPr>
          <w:rFonts w:ascii="Times New Roman" w:hAnsi="Times New Roman"/>
          <w:color w:val="000000"/>
          <w:sz w:val="24"/>
          <w:szCs w:val="24"/>
        </w:rPr>
        <w:t xml:space="preserve">GDPR </w:t>
      </w:r>
      <w:r w:rsidR="006F605C">
        <w:rPr>
          <w:rFonts w:ascii="Times New Roman" w:hAnsi="Times New Roman"/>
          <w:color w:val="000000"/>
          <w:sz w:val="24"/>
          <w:szCs w:val="24"/>
        </w:rPr>
        <w:t xml:space="preserve">EU </w:t>
      </w:r>
      <w:r w:rsidR="00435A84">
        <w:rPr>
          <w:rFonts w:ascii="Times New Roman" w:hAnsi="Times New Roman"/>
          <w:color w:val="000000"/>
          <w:sz w:val="24"/>
          <w:szCs w:val="24"/>
        </w:rPr>
        <w:t>679/2016</w:t>
      </w:r>
      <w:r w:rsidR="00435A84" w:rsidRPr="00545DC3">
        <w:rPr>
          <w:rFonts w:ascii="Times New Roman" w:hAnsi="Times New Roman"/>
          <w:sz w:val="24"/>
          <w:szCs w:val="24"/>
        </w:rPr>
        <w:t xml:space="preserve"> </w:t>
      </w:r>
      <w:r w:rsidRPr="00545DC3">
        <w:rPr>
          <w:rFonts w:ascii="Times New Roman" w:hAnsi="Times New Roman"/>
          <w:sz w:val="24"/>
          <w:szCs w:val="24"/>
        </w:rPr>
        <w:t>(</w:t>
      </w:r>
      <w:r w:rsidR="00435A84">
        <w:rPr>
          <w:rFonts w:ascii="Times New Roman" w:hAnsi="Times New Roman"/>
          <w:sz w:val="24"/>
          <w:szCs w:val="24"/>
        </w:rPr>
        <w:t xml:space="preserve">Regolamento </w:t>
      </w:r>
      <w:r w:rsidRPr="00545DC3">
        <w:rPr>
          <w:rFonts w:ascii="Times New Roman" w:hAnsi="Times New Roman"/>
          <w:sz w:val="24"/>
          <w:szCs w:val="24"/>
        </w:rPr>
        <w:t>Privacy), i dati personali trasmessi, saranno raccolti dall'Ufficio ed utilizzati solo esclusivamente per le finalità inerenti il conferimento dell'incarico. I dati personali forniti saran</w:t>
      </w:r>
      <w:r w:rsidR="00C81A8A">
        <w:rPr>
          <w:rFonts w:ascii="Times New Roman" w:hAnsi="Times New Roman"/>
          <w:sz w:val="24"/>
          <w:szCs w:val="24"/>
        </w:rPr>
        <w:t>no raccolti presso il Comune di Osimo</w:t>
      </w:r>
      <w:r w:rsidRPr="00545DC3">
        <w:rPr>
          <w:rFonts w:ascii="Times New Roman" w:hAnsi="Times New Roman"/>
          <w:sz w:val="24"/>
          <w:szCs w:val="24"/>
        </w:rPr>
        <w:t>,</w:t>
      </w:r>
      <w:r w:rsidR="0030533E" w:rsidRPr="00545DC3">
        <w:rPr>
          <w:rFonts w:ascii="Times New Roman" w:hAnsi="Times New Roman"/>
          <w:sz w:val="24"/>
          <w:szCs w:val="24"/>
        </w:rPr>
        <w:t xml:space="preserve"> </w:t>
      </w:r>
      <w:r w:rsidR="006F605C">
        <w:rPr>
          <w:rFonts w:ascii="Times New Roman" w:hAnsi="Times New Roman"/>
          <w:sz w:val="24"/>
          <w:szCs w:val="24"/>
        </w:rPr>
        <w:t>Settore Segreteria/Affari Generali,</w:t>
      </w:r>
      <w:r w:rsidRPr="00545DC3">
        <w:rPr>
          <w:rFonts w:ascii="Times New Roman" w:hAnsi="Times New Roman"/>
          <w:sz w:val="24"/>
          <w:szCs w:val="24"/>
        </w:rPr>
        <w:t xml:space="preserve"> ai fini della gestione del presente provvedimento.</w:t>
      </w:r>
    </w:p>
    <w:p w:rsidR="00407F88" w:rsidRPr="00545DC3"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Il conferimento dei dati ha natura obbligatoria ai fini dell'adozione del provvedimento finale.</w:t>
      </w:r>
    </w:p>
    <w:p w:rsidR="009B5766" w:rsidRDefault="00407F88" w:rsidP="007C3AD1">
      <w:pPr>
        <w:spacing w:after="0" w:line="240" w:lineRule="atLeast"/>
        <w:jc w:val="both"/>
        <w:rPr>
          <w:rFonts w:ascii="Times New Roman" w:hAnsi="Times New Roman"/>
          <w:color w:val="000000"/>
          <w:sz w:val="24"/>
          <w:szCs w:val="24"/>
        </w:rPr>
      </w:pPr>
      <w:r w:rsidRPr="00545DC3">
        <w:rPr>
          <w:rFonts w:ascii="Times New Roman" w:hAnsi="Times New Roman"/>
          <w:sz w:val="24"/>
          <w:szCs w:val="24"/>
        </w:rPr>
        <w:t>In relazione ai suddetti dati l'interessato pu</w:t>
      </w:r>
      <w:r w:rsidR="00A757D9">
        <w:rPr>
          <w:rFonts w:ascii="Times New Roman" w:hAnsi="Times New Roman"/>
          <w:sz w:val="24"/>
          <w:szCs w:val="24"/>
        </w:rPr>
        <w:t xml:space="preserve">ò esercitare i diritti di cui agli artt. 15-21 del </w:t>
      </w:r>
      <w:r w:rsidR="00435A84">
        <w:rPr>
          <w:rFonts w:ascii="Times New Roman" w:hAnsi="Times New Roman"/>
          <w:color w:val="000000"/>
          <w:sz w:val="24"/>
          <w:szCs w:val="24"/>
        </w:rPr>
        <w:t>GDPR</w:t>
      </w:r>
      <w:r w:rsidR="006F605C">
        <w:rPr>
          <w:rFonts w:ascii="Times New Roman" w:hAnsi="Times New Roman"/>
          <w:color w:val="000000"/>
          <w:sz w:val="24"/>
          <w:szCs w:val="24"/>
        </w:rPr>
        <w:t xml:space="preserve"> EU</w:t>
      </w:r>
      <w:r w:rsidR="00435A84">
        <w:rPr>
          <w:rFonts w:ascii="Times New Roman" w:hAnsi="Times New Roman"/>
          <w:color w:val="000000"/>
          <w:sz w:val="24"/>
          <w:szCs w:val="24"/>
        </w:rPr>
        <w:t xml:space="preserve"> 679/2016</w:t>
      </w:r>
      <w:r w:rsidR="00B572EE">
        <w:rPr>
          <w:rFonts w:ascii="Times New Roman" w:hAnsi="Times New Roman"/>
          <w:color w:val="000000"/>
          <w:sz w:val="24"/>
          <w:szCs w:val="24"/>
        </w:rPr>
        <w:t>.</w:t>
      </w:r>
    </w:p>
    <w:p w:rsidR="00B572EE" w:rsidRPr="00545DC3" w:rsidRDefault="00B572EE" w:rsidP="007C3AD1">
      <w:pPr>
        <w:spacing w:after="0" w:line="240" w:lineRule="atLeast"/>
        <w:jc w:val="both"/>
        <w:rPr>
          <w:rFonts w:ascii="Times New Roman" w:hAnsi="Times New Roman"/>
          <w:sz w:val="24"/>
          <w:szCs w:val="24"/>
        </w:rPr>
      </w:pPr>
    </w:p>
    <w:p w:rsidR="009B5766" w:rsidRPr="009B5766" w:rsidRDefault="009B5766" w:rsidP="009B5766">
      <w:pPr>
        <w:spacing w:after="0" w:line="240" w:lineRule="atLeast"/>
        <w:jc w:val="both"/>
        <w:rPr>
          <w:rFonts w:ascii="Times New Roman" w:hAnsi="Times New Roman"/>
          <w:b/>
          <w:sz w:val="24"/>
          <w:szCs w:val="24"/>
        </w:rPr>
      </w:pPr>
      <w:r>
        <w:rPr>
          <w:rFonts w:ascii="Times New Roman" w:hAnsi="Times New Roman"/>
          <w:b/>
          <w:sz w:val="24"/>
          <w:szCs w:val="24"/>
        </w:rPr>
        <w:t>ART. 15</w:t>
      </w:r>
      <w:r w:rsidRPr="009B5766">
        <w:rPr>
          <w:rFonts w:ascii="Times New Roman" w:hAnsi="Times New Roman"/>
          <w:b/>
          <w:sz w:val="24"/>
          <w:szCs w:val="24"/>
        </w:rPr>
        <w:t xml:space="preserve"> </w:t>
      </w:r>
      <w:r>
        <w:rPr>
          <w:rFonts w:ascii="Times New Roman" w:hAnsi="Times New Roman"/>
          <w:b/>
          <w:sz w:val="24"/>
          <w:szCs w:val="24"/>
        </w:rPr>
        <w:t>T</w:t>
      </w:r>
      <w:r w:rsidRPr="009B5766">
        <w:rPr>
          <w:rFonts w:ascii="Times New Roman" w:hAnsi="Times New Roman"/>
          <w:b/>
          <w:sz w:val="24"/>
          <w:szCs w:val="24"/>
        </w:rPr>
        <w:t>racciabilità flussi finanziari</w:t>
      </w:r>
    </w:p>
    <w:p w:rsidR="009B5766" w:rsidRDefault="009B5766" w:rsidP="009B5766">
      <w:pPr>
        <w:spacing w:after="0" w:line="240" w:lineRule="atLeast"/>
        <w:jc w:val="both"/>
        <w:rPr>
          <w:rFonts w:ascii="Times New Roman" w:hAnsi="Times New Roman"/>
          <w:sz w:val="24"/>
          <w:szCs w:val="24"/>
        </w:rPr>
      </w:pPr>
      <w:r w:rsidRPr="009B5766">
        <w:rPr>
          <w:rFonts w:ascii="Times New Roman" w:hAnsi="Times New Roman"/>
          <w:sz w:val="24"/>
          <w:szCs w:val="24"/>
        </w:rPr>
        <w:t>Il concessionario si assume gli obblighi di tracciabilità dei flussi finanziari di cui alla legge 136/2010 anche in virtù della determinazione dell’AVCP n° 4/2011 “linee guida sulla tracciabilità dei flussi finanziari ai sensi dell’art. 3 della L.136/2010”</w:t>
      </w:r>
      <w:r w:rsidR="00295AF4">
        <w:rPr>
          <w:rFonts w:ascii="Times New Roman" w:hAnsi="Times New Roman"/>
          <w:sz w:val="24"/>
          <w:szCs w:val="24"/>
        </w:rPr>
        <w:t>, aggiornata con delibera ANAC n. 556 del 31/05/2017</w:t>
      </w:r>
      <w:r w:rsidRPr="009B5766">
        <w:rPr>
          <w:rFonts w:ascii="Times New Roman" w:hAnsi="Times New Roman"/>
          <w:sz w:val="24"/>
          <w:szCs w:val="24"/>
        </w:rPr>
        <w:t>.</w:t>
      </w:r>
    </w:p>
    <w:p w:rsidR="00EF1133" w:rsidRDefault="00EF1133" w:rsidP="009B5766">
      <w:pPr>
        <w:spacing w:after="0" w:line="240" w:lineRule="atLeast"/>
        <w:jc w:val="both"/>
        <w:rPr>
          <w:rFonts w:ascii="Times New Roman" w:hAnsi="Times New Roman"/>
          <w:sz w:val="24"/>
          <w:szCs w:val="24"/>
        </w:rPr>
      </w:pPr>
    </w:p>
    <w:p w:rsidR="00EF1133" w:rsidRPr="00DB541D" w:rsidRDefault="003E59D0" w:rsidP="009B5766">
      <w:pPr>
        <w:spacing w:after="0" w:line="240" w:lineRule="atLeast"/>
        <w:jc w:val="both"/>
        <w:rPr>
          <w:rFonts w:ascii="Times New Roman" w:hAnsi="Times New Roman"/>
          <w:b/>
          <w:sz w:val="24"/>
          <w:szCs w:val="24"/>
        </w:rPr>
      </w:pPr>
      <w:r>
        <w:rPr>
          <w:rFonts w:ascii="Times New Roman" w:hAnsi="Times New Roman"/>
          <w:b/>
          <w:sz w:val="24"/>
          <w:szCs w:val="24"/>
        </w:rPr>
        <w:t>ART.</w:t>
      </w:r>
      <w:r w:rsidR="00EF1133" w:rsidRPr="00DB541D">
        <w:rPr>
          <w:rFonts w:ascii="Times New Roman" w:hAnsi="Times New Roman"/>
          <w:b/>
          <w:sz w:val="24"/>
          <w:szCs w:val="24"/>
        </w:rPr>
        <w:t xml:space="preserve"> 16 DUVRI</w:t>
      </w:r>
    </w:p>
    <w:p w:rsidR="004550FC" w:rsidRPr="004550FC" w:rsidRDefault="00EF1133" w:rsidP="004550FC">
      <w:pPr>
        <w:spacing w:after="0" w:line="240" w:lineRule="atLeast"/>
        <w:jc w:val="both"/>
        <w:rPr>
          <w:rFonts w:ascii="Times New Roman" w:hAnsi="Times New Roman"/>
          <w:sz w:val="24"/>
          <w:szCs w:val="24"/>
        </w:rPr>
      </w:pPr>
      <w:r>
        <w:rPr>
          <w:rFonts w:ascii="Times New Roman" w:hAnsi="Times New Roman"/>
          <w:sz w:val="24"/>
          <w:szCs w:val="24"/>
        </w:rPr>
        <w:t xml:space="preserve">Non è richiesta la predisposizione del </w:t>
      </w:r>
      <w:r w:rsidRPr="00EF1133">
        <w:rPr>
          <w:rFonts w:ascii="Times New Roman" w:hAnsi="Times New Roman"/>
          <w:sz w:val="24"/>
          <w:szCs w:val="24"/>
        </w:rPr>
        <w:t>DUVRI e la conseguente stima dei costi della sicure</w:t>
      </w:r>
      <w:r w:rsidR="00C81A8A">
        <w:rPr>
          <w:rFonts w:ascii="Times New Roman" w:hAnsi="Times New Roman"/>
          <w:sz w:val="24"/>
          <w:szCs w:val="24"/>
        </w:rPr>
        <w:t xml:space="preserve">zza relativi </w:t>
      </w:r>
      <w:r w:rsidRPr="00EF1133">
        <w:rPr>
          <w:rFonts w:ascii="Times New Roman" w:hAnsi="Times New Roman"/>
          <w:sz w:val="24"/>
          <w:szCs w:val="24"/>
        </w:rPr>
        <w:t>a rischi da interferenze,</w:t>
      </w:r>
      <w:r>
        <w:rPr>
          <w:rFonts w:ascii="Times New Roman" w:hAnsi="Times New Roman"/>
          <w:sz w:val="24"/>
          <w:szCs w:val="24"/>
        </w:rPr>
        <w:t xml:space="preserve"> non ricorrendone i presupposti trattandosi di </w:t>
      </w:r>
      <w:r w:rsidRPr="00EF1133">
        <w:rPr>
          <w:rFonts w:ascii="Times New Roman" w:hAnsi="Times New Roman"/>
          <w:sz w:val="24"/>
          <w:szCs w:val="24"/>
        </w:rPr>
        <w:t>servizi</w:t>
      </w:r>
      <w:r>
        <w:rPr>
          <w:rFonts w:ascii="Times New Roman" w:hAnsi="Times New Roman"/>
          <w:sz w:val="24"/>
          <w:szCs w:val="24"/>
        </w:rPr>
        <w:t>o</w:t>
      </w:r>
      <w:r w:rsidRPr="00EF1133">
        <w:rPr>
          <w:rFonts w:ascii="Times New Roman" w:hAnsi="Times New Roman"/>
          <w:sz w:val="24"/>
          <w:szCs w:val="24"/>
        </w:rPr>
        <w:t xml:space="preserve"> per i</w:t>
      </w:r>
      <w:r>
        <w:rPr>
          <w:rFonts w:ascii="Times New Roman" w:hAnsi="Times New Roman"/>
          <w:sz w:val="24"/>
          <w:szCs w:val="24"/>
        </w:rPr>
        <w:t>l quale</w:t>
      </w:r>
      <w:r w:rsidRPr="00EF1133">
        <w:rPr>
          <w:rFonts w:ascii="Times New Roman" w:hAnsi="Times New Roman"/>
          <w:sz w:val="24"/>
          <w:szCs w:val="24"/>
        </w:rPr>
        <w:t xml:space="preserve"> non è prevista </w:t>
      </w:r>
      <w:r w:rsidR="00952B26">
        <w:rPr>
          <w:rFonts w:ascii="Times New Roman" w:hAnsi="Times New Roman"/>
          <w:sz w:val="24"/>
          <w:szCs w:val="24"/>
        </w:rPr>
        <w:t xml:space="preserve">l’esecuzione all’interno della </w:t>
      </w:r>
      <w:r w:rsidRPr="00EF1133">
        <w:rPr>
          <w:rFonts w:ascii="Times New Roman" w:hAnsi="Times New Roman"/>
          <w:sz w:val="24"/>
          <w:szCs w:val="24"/>
        </w:rPr>
        <w:t xml:space="preserve">stazione appaltante, intendendo per “interno” tutti i locali/luoghi </w:t>
      </w:r>
      <w:r w:rsidR="00A757D9">
        <w:rPr>
          <w:rFonts w:ascii="Times New Roman" w:hAnsi="Times New Roman"/>
          <w:sz w:val="24"/>
          <w:szCs w:val="24"/>
        </w:rPr>
        <w:t>messi a disposizione dalla staz</w:t>
      </w:r>
      <w:r w:rsidRPr="00EF1133">
        <w:rPr>
          <w:rFonts w:ascii="Times New Roman" w:hAnsi="Times New Roman"/>
          <w:sz w:val="24"/>
          <w:szCs w:val="24"/>
        </w:rPr>
        <w:t>ione appaltante, an</w:t>
      </w:r>
      <w:r>
        <w:rPr>
          <w:rFonts w:ascii="Times New Roman" w:hAnsi="Times New Roman"/>
          <w:sz w:val="24"/>
          <w:szCs w:val="24"/>
        </w:rPr>
        <w:t>che non sede dei propri uffici.</w:t>
      </w:r>
      <w:r w:rsidR="004550FC" w:rsidRPr="004550FC">
        <w:rPr>
          <w:rFonts w:ascii="Times New Roman" w:hAnsi="Times New Roman"/>
          <w:sz w:val="24"/>
          <w:szCs w:val="24"/>
        </w:rPr>
        <w:t xml:space="preserve"> </w:t>
      </w:r>
      <w:r w:rsidR="004550FC">
        <w:rPr>
          <w:rFonts w:ascii="Times New Roman" w:hAnsi="Times New Roman"/>
          <w:sz w:val="24"/>
          <w:szCs w:val="24"/>
        </w:rPr>
        <w:t xml:space="preserve">Conseguentemente </w:t>
      </w:r>
      <w:r w:rsidR="004550FC" w:rsidRPr="004550FC">
        <w:rPr>
          <w:rFonts w:ascii="Times New Roman" w:hAnsi="Times New Roman"/>
          <w:sz w:val="24"/>
          <w:szCs w:val="24"/>
        </w:rPr>
        <w:t>gli oneri per eliminare e/o ridurre i rischi da interferenza risultano essere pari a zero.</w:t>
      </w:r>
    </w:p>
    <w:p w:rsidR="000061B6" w:rsidRPr="00545DC3" w:rsidRDefault="000061B6" w:rsidP="007C3AD1">
      <w:pPr>
        <w:spacing w:after="0" w:line="240" w:lineRule="atLeast"/>
        <w:jc w:val="both"/>
        <w:rPr>
          <w:rFonts w:ascii="Times New Roman" w:hAnsi="Times New Roman"/>
          <w:b/>
          <w:sz w:val="24"/>
          <w:szCs w:val="24"/>
        </w:rPr>
      </w:pPr>
    </w:p>
    <w:p w:rsidR="00407F88" w:rsidRPr="00545DC3" w:rsidRDefault="00EF1133" w:rsidP="007C3AD1">
      <w:pPr>
        <w:spacing w:after="0" w:line="240" w:lineRule="atLeast"/>
        <w:jc w:val="both"/>
        <w:rPr>
          <w:rFonts w:ascii="Times New Roman" w:hAnsi="Times New Roman"/>
          <w:b/>
          <w:sz w:val="24"/>
          <w:szCs w:val="24"/>
        </w:rPr>
      </w:pPr>
      <w:r>
        <w:rPr>
          <w:rFonts w:ascii="Times New Roman" w:hAnsi="Times New Roman"/>
          <w:b/>
          <w:sz w:val="24"/>
          <w:szCs w:val="24"/>
        </w:rPr>
        <w:t>ART. 17</w:t>
      </w:r>
      <w:r w:rsidR="00407F88" w:rsidRPr="00545DC3">
        <w:rPr>
          <w:rFonts w:ascii="Times New Roman" w:hAnsi="Times New Roman"/>
          <w:b/>
          <w:sz w:val="24"/>
          <w:szCs w:val="24"/>
        </w:rPr>
        <w:t xml:space="preserve"> - Legge applicabile e Foro competente</w:t>
      </w:r>
    </w:p>
    <w:p w:rsidR="00407F88" w:rsidRPr="006F605C" w:rsidRDefault="00407F88" w:rsidP="007C3AD1">
      <w:pPr>
        <w:spacing w:after="0" w:line="240" w:lineRule="atLeast"/>
        <w:jc w:val="both"/>
        <w:rPr>
          <w:rFonts w:ascii="Times New Roman" w:hAnsi="Times New Roman"/>
          <w:sz w:val="24"/>
          <w:szCs w:val="24"/>
        </w:rPr>
      </w:pPr>
      <w:r w:rsidRPr="00545DC3">
        <w:rPr>
          <w:rFonts w:ascii="Times New Roman" w:hAnsi="Times New Roman"/>
          <w:sz w:val="24"/>
          <w:szCs w:val="24"/>
        </w:rPr>
        <w:t>Per tutto quanto non previsto dal presente capitolato</w:t>
      </w:r>
      <w:r w:rsidR="00713B4E">
        <w:rPr>
          <w:rFonts w:ascii="Times New Roman" w:hAnsi="Times New Roman"/>
          <w:sz w:val="24"/>
          <w:szCs w:val="24"/>
        </w:rPr>
        <w:t>,</w:t>
      </w:r>
      <w:r w:rsidRPr="00545DC3">
        <w:rPr>
          <w:rFonts w:ascii="Times New Roman" w:hAnsi="Times New Roman"/>
          <w:sz w:val="24"/>
          <w:szCs w:val="24"/>
        </w:rPr>
        <w:t xml:space="preserve"> si applicano le disposizioni </w:t>
      </w:r>
      <w:r w:rsidR="009110BF">
        <w:rPr>
          <w:rFonts w:ascii="Times New Roman" w:hAnsi="Times New Roman"/>
          <w:sz w:val="24"/>
          <w:szCs w:val="24"/>
        </w:rPr>
        <w:t>del D. L</w:t>
      </w:r>
      <w:r w:rsidR="00F515F6">
        <w:rPr>
          <w:rFonts w:ascii="Times New Roman" w:hAnsi="Times New Roman"/>
          <w:sz w:val="24"/>
          <w:szCs w:val="24"/>
        </w:rPr>
        <w:t xml:space="preserve">gs. </w:t>
      </w:r>
      <w:r w:rsidR="0030533E" w:rsidRPr="00545DC3">
        <w:rPr>
          <w:rFonts w:ascii="Times New Roman" w:hAnsi="Times New Roman"/>
          <w:sz w:val="24"/>
          <w:szCs w:val="24"/>
        </w:rPr>
        <w:t xml:space="preserve">18 aprile 2016 n. 50, </w:t>
      </w:r>
      <w:r w:rsidRPr="00545DC3">
        <w:rPr>
          <w:rFonts w:ascii="Times New Roman" w:hAnsi="Times New Roman"/>
          <w:sz w:val="24"/>
          <w:szCs w:val="24"/>
        </w:rPr>
        <w:t xml:space="preserve">del Codice civile e della vigente </w:t>
      </w:r>
      <w:r w:rsidR="00952B26" w:rsidRPr="006F605C">
        <w:rPr>
          <w:rFonts w:ascii="Times New Roman" w:hAnsi="Times New Roman"/>
          <w:sz w:val="24"/>
          <w:szCs w:val="24"/>
        </w:rPr>
        <w:t>normativa</w:t>
      </w:r>
      <w:r w:rsidRPr="006F605C">
        <w:rPr>
          <w:rFonts w:ascii="Times New Roman" w:hAnsi="Times New Roman"/>
          <w:sz w:val="24"/>
          <w:szCs w:val="24"/>
        </w:rPr>
        <w:t xml:space="preserve"> in materia.</w:t>
      </w:r>
    </w:p>
    <w:p w:rsidR="00407F88" w:rsidRPr="00545DC3" w:rsidRDefault="00407F88" w:rsidP="007C3AD1">
      <w:pPr>
        <w:spacing w:after="0" w:line="240" w:lineRule="atLeast"/>
        <w:jc w:val="both"/>
        <w:rPr>
          <w:rFonts w:ascii="Times New Roman" w:hAnsi="Times New Roman"/>
          <w:sz w:val="24"/>
          <w:szCs w:val="24"/>
        </w:rPr>
      </w:pPr>
      <w:r w:rsidRPr="006F605C">
        <w:rPr>
          <w:rFonts w:ascii="Times New Roman" w:hAnsi="Times New Roman"/>
          <w:sz w:val="24"/>
          <w:szCs w:val="24"/>
        </w:rPr>
        <w:t xml:space="preserve">Per tutte le controversie legate alla interpretazione ed esecuzione dei contratto di brokeraggio assicurativo sarà competente il Foro di </w:t>
      </w:r>
      <w:r w:rsidR="006F605C">
        <w:rPr>
          <w:rFonts w:ascii="Times New Roman" w:hAnsi="Times New Roman"/>
          <w:sz w:val="24"/>
          <w:szCs w:val="24"/>
        </w:rPr>
        <w:t>Ancona.</w:t>
      </w:r>
    </w:p>
    <w:p w:rsidR="00407F88" w:rsidRDefault="00407F88" w:rsidP="007C3AD1">
      <w:pPr>
        <w:spacing w:after="0" w:line="240" w:lineRule="atLeast"/>
        <w:jc w:val="both"/>
        <w:rPr>
          <w:rFonts w:ascii="Times New Roman" w:hAnsi="Times New Roman"/>
          <w:sz w:val="24"/>
          <w:szCs w:val="24"/>
        </w:rPr>
      </w:pPr>
    </w:p>
    <w:p w:rsidR="000F27EE" w:rsidRDefault="000F27EE" w:rsidP="007C3AD1">
      <w:pPr>
        <w:spacing w:after="0" w:line="240" w:lineRule="atLeast"/>
        <w:jc w:val="both"/>
        <w:rPr>
          <w:rFonts w:ascii="Times New Roman" w:hAnsi="Times New Roman"/>
          <w:sz w:val="24"/>
          <w:szCs w:val="24"/>
        </w:rPr>
      </w:pPr>
    </w:p>
    <w:p w:rsidR="00295AF4" w:rsidRDefault="00295AF4" w:rsidP="007C3AD1">
      <w:pPr>
        <w:spacing w:after="0" w:line="240" w:lineRule="atLeast"/>
        <w:jc w:val="both"/>
        <w:rPr>
          <w:rFonts w:ascii="Times New Roman" w:hAnsi="Times New Roman"/>
          <w:sz w:val="24"/>
          <w:szCs w:val="24"/>
        </w:rPr>
      </w:pPr>
      <w:r>
        <w:rPr>
          <w:rFonts w:ascii="Times New Roman" w:hAnsi="Times New Roman"/>
          <w:sz w:val="24"/>
          <w:szCs w:val="24"/>
        </w:rPr>
        <w:t xml:space="preserve">          </w:t>
      </w:r>
      <w:r w:rsidR="00BA091F">
        <w:rPr>
          <w:rFonts w:ascii="Times New Roman" w:hAnsi="Times New Roman"/>
          <w:sz w:val="24"/>
          <w:szCs w:val="24"/>
        </w:rPr>
        <w:t xml:space="preserve">   </w:t>
      </w:r>
      <w:r>
        <w:rPr>
          <w:rFonts w:ascii="Times New Roman" w:hAnsi="Times New Roman"/>
          <w:sz w:val="24"/>
          <w:szCs w:val="24"/>
        </w:rPr>
        <w:t>IL R.U.P.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IL SEGRETARIO GENERALE</w:t>
      </w:r>
    </w:p>
    <w:p w:rsidR="00295AF4" w:rsidRDefault="00BA091F" w:rsidP="007C3AD1">
      <w:pPr>
        <w:spacing w:after="0" w:line="240" w:lineRule="atLeast"/>
        <w:jc w:val="both"/>
        <w:rPr>
          <w:rFonts w:ascii="Times New Roman" w:hAnsi="Times New Roman"/>
          <w:sz w:val="24"/>
          <w:szCs w:val="24"/>
        </w:rPr>
      </w:pPr>
      <w:r>
        <w:rPr>
          <w:rFonts w:ascii="Times New Roman" w:hAnsi="Times New Roman"/>
          <w:sz w:val="24"/>
          <w:szCs w:val="24"/>
        </w:rPr>
        <w:t xml:space="preserve">f.to </w:t>
      </w:r>
      <w:r w:rsidR="00295AF4">
        <w:rPr>
          <w:rFonts w:ascii="Times New Roman" w:hAnsi="Times New Roman"/>
          <w:sz w:val="24"/>
          <w:szCs w:val="24"/>
        </w:rPr>
        <w:t xml:space="preserve">Dott. </w:t>
      </w:r>
      <w:r>
        <w:rPr>
          <w:rFonts w:ascii="Times New Roman" w:hAnsi="Times New Roman"/>
          <w:sz w:val="24"/>
          <w:szCs w:val="24"/>
        </w:rPr>
        <w:t>Stefano Ippoliti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95AF4">
        <w:rPr>
          <w:rFonts w:ascii="Times New Roman" w:hAnsi="Times New Roman"/>
          <w:sz w:val="24"/>
          <w:szCs w:val="24"/>
        </w:rPr>
        <w:t>Dirigente ad interim</w:t>
      </w:r>
    </w:p>
    <w:p w:rsidR="00295AF4" w:rsidRDefault="00295AF4" w:rsidP="007C3AD1">
      <w:pPr>
        <w:spacing w:after="0" w:line="240"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Dip.to Affari Generali, Servizi Amm.vi e Sociali</w:t>
      </w:r>
    </w:p>
    <w:p w:rsidR="00295AF4" w:rsidRDefault="00BA091F" w:rsidP="007C3AD1">
      <w:pPr>
        <w:spacing w:after="0" w:line="240"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0" w:name="_GoBack"/>
      <w:bookmarkEnd w:id="0"/>
      <w:r>
        <w:rPr>
          <w:rFonts w:ascii="Times New Roman" w:hAnsi="Times New Roman"/>
          <w:sz w:val="24"/>
          <w:szCs w:val="24"/>
        </w:rPr>
        <w:t>f.to</w:t>
      </w:r>
      <w:r w:rsidR="00295AF4">
        <w:rPr>
          <w:rFonts w:ascii="Times New Roman" w:hAnsi="Times New Roman"/>
          <w:sz w:val="24"/>
          <w:szCs w:val="24"/>
        </w:rPr>
        <w:t xml:space="preserve"> Dott. Giuliano Giulioni</w:t>
      </w:r>
    </w:p>
    <w:sectPr w:rsidR="00295AF4" w:rsidSect="001206A6">
      <w:footerReference w:type="default" r:id="rId9"/>
      <w:footerReference w:type="first" r:id="rId10"/>
      <w:pgSz w:w="11906" w:h="16838"/>
      <w:pgMar w:top="1022" w:right="1134" w:bottom="1258" w:left="1134" w:header="708"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28B" w:rsidRDefault="00DA228B" w:rsidP="0095392F">
      <w:pPr>
        <w:spacing w:after="0" w:line="240" w:lineRule="auto"/>
      </w:pPr>
      <w:r>
        <w:separator/>
      </w:r>
    </w:p>
  </w:endnote>
  <w:endnote w:type="continuationSeparator" w:id="0">
    <w:p w:rsidR="00DA228B" w:rsidRDefault="00DA228B" w:rsidP="0095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66" w:rsidRDefault="009B5766">
    <w:pPr>
      <w:pStyle w:val="Pidipagina"/>
      <w:jc w:val="right"/>
    </w:pPr>
    <w:r>
      <w:t xml:space="preserve">Pag. </w:t>
    </w:r>
    <w:r w:rsidR="00D60F37">
      <w:fldChar w:fldCharType="begin"/>
    </w:r>
    <w:r w:rsidR="0048761C">
      <w:instrText>PAGE   \* MERGEFORMAT</w:instrText>
    </w:r>
    <w:r w:rsidR="00D60F37">
      <w:fldChar w:fldCharType="separate"/>
    </w:r>
    <w:r w:rsidR="00BA091F">
      <w:rPr>
        <w:noProof/>
      </w:rPr>
      <w:t>8</w:t>
    </w:r>
    <w:r w:rsidR="00D60F37">
      <w:rPr>
        <w:noProof/>
      </w:rPr>
      <w:fldChar w:fldCharType="end"/>
    </w:r>
  </w:p>
  <w:p w:rsidR="009B5766" w:rsidRDefault="009B576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66" w:rsidRDefault="009B5766">
    <w:pPr>
      <w:pStyle w:val="Pidipagina"/>
      <w:jc w:val="right"/>
    </w:pPr>
    <w:r>
      <w:t xml:space="preserve">Pag. </w:t>
    </w:r>
    <w:r w:rsidR="00D60F37">
      <w:fldChar w:fldCharType="begin"/>
    </w:r>
    <w:r w:rsidR="0048761C">
      <w:instrText>PAGE   \* MERGEFORMAT</w:instrText>
    </w:r>
    <w:r w:rsidR="00D60F37">
      <w:fldChar w:fldCharType="separate"/>
    </w:r>
    <w:r w:rsidR="00BA091F">
      <w:rPr>
        <w:noProof/>
      </w:rPr>
      <w:t>1</w:t>
    </w:r>
    <w:r w:rsidR="00D60F37">
      <w:rPr>
        <w:noProof/>
      </w:rPr>
      <w:fldChar w:fldCharType="end"/>
    </w:r>
  </w:p>
  <w:p w:rsidR="009B5766" w:rsidRDefault="009B57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28B" w:rsidRDefault="00DA228B" w:rsidP="0095392F">
      <w:pPr>
        <w:spacing w:after="0" w:line="240" w:lineRule="auto"/>
      </w:pPr>
      <w:r>
        <w:separator/>
      </w:r>
    </w:p>
  </w:footnote>
  <w:footnote w:type="continuationSeparator" w:id="0">
    <w:p w:rsidR="00DA228B" w:rsidRDefault="00DA228B" w:rsidP="00953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31CF2"/>
    <w:multiLevelType w:val="hybridMultilevel"/>
    <w:tmpl w:val="7682E770"/>
    <w:lvl w:ilvl="0" w:tplc="7024959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742C1D"/>
    <w:multiLevelType w:val="hybridMultilevel"/>
    <w:tmpl w:val="1CD8D77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5A245038"/>
    <w:multiLevelType w:val="hybridMultilevel"/>
    <w:tmpl w:val="550AFA7E"/>
    <w:lvl w:ilvl="0" w:tplc="7236EA94">
      <w:numFmt w:val="bullet"/>
      <w:lvlText w:val=""/>
      <w:lvlJc w:val="left"/>
      <w:pPr>
        <w:ind w:left="720" w:hanging="360"/>
      </w:pPr>
      <w:rPr>
        <w:rFonts w:ascii="Symbol" w:eastAsia="Times New Roman" w:hAnsi="Symbol"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B55C21"/>
    <w:multiLevelType w:val="hybridMultilevel"/>
    <w:tmpl w:val="B38CB9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18"/>
    <w:rsid w:val="000061B6"/>
    <w:rsid w:val="00026348"/>
    <w:rsid w:val="00040664"/>
    <w:rsid w:val="00050D7D"/>
    <w:rsid w:val="000820E7"/>
    <w:rsid w:val="000908D0"/>
    <w:rsid w:val="0009450A"/>
    <w:rsid w:val="000B1DEB"/>
    <w:rsid w:val="000B6346"/>
    <w:rsid w:val="000C6377"/>
    <w:rsid w:val="000D0FAF"/>
    <w:rsid w:val="000E26E9"/>
    <w:rsid w:val="000F27EE"/>
    <w:rsid w:val="001206A6"/>
    <w:rsid w:val="0012591D"/>
    <w:rsid w:val="00126430"/>
    <w:rsid w:val="001438BC"/>
    <w:rsid w:val="00167B64"/>
    <w:rsid w:val="001741BF"/>
    <w:rsid w:val="00194B44"/>
    <w:rsid w:val="001B6F50"/>
    <w:rsid w:val="001C042B"/>
    <w:rsid w:val="001D2210"/>
    <w:rsid w:val="001E3D8B"/>
    <w:rsid w:val="001F2DFF"/>
    <w:rsid w:val="00201771"/>
    <w:rsid w:val="002036E2"/>
    <w:rsid w:val="00224945"/>
    <w:rsid w:val="00230283"/>
    <w:rsid w:val="00236DD2"/>
    <w:rsid w:val="00243D9D"/>
    <w:rsid w:val="00295AF4"/>
    <w:rsid w:val="002A5B26"/>
    <w:rsid w:val="002C0CA1"/>
    <w:rsid w:val="002D2180"/>
    <w:rsid w:val="002E1CBB"/>
    <w:rsid w:val="002E2612"/>
    <w:rsid w:val="002F1BE9"/>
    <w:rsid w:val="002F1E7A"/>
    <w:rsid w:val="002F4647"/>
    <w:rsid w:val="003000BC"/>
    <w:rsid w:val="0030533E"/>
    <w:rsid w:val="0032372A"/>
    <w:rsid w:val="003267F0"/>
    <w:rsid w:val="00331962"/>
    <w:rsid w:val="00343D96"/>
    <w:rsid w:val="00354790"/>
    <w:rsid w:val="00362ED1"/>
    <w:rsid w:val="003843BA"/>
    <w:rsid w:val="003878B3"/>
    <w:rsid w:val="003C331A"/>
    <w:rsid w:val="003C6FDC"/>
    <w:rsid w:val="003E59D0"/>
    <w:rsid w:val="003E65B6"/>
    <w:rsid w:val="003E72CC"/>
    <w:rsid w:val="00407F88"/>
    <w:rsid w:val="00412507"/>
    <w:rsid w:val="00414DE9"/>
    <w:rsid w:val="004224CC"/>
    <w:rsid w:val="004247A2"/>
    <w:rsid w:val="00427B18"/>
    <w:rsid w:val="00435A84"/>
    <w:rsid w:val="0045306E"/>
    <w:rsid w:val="004550FC"/>
    <w:rsid w:val="00462C55"/>
    <w:rsid w:val="004819EA"/>
    <w:rsid w:val="0048761C"/>
    <w:rsid w:val="004A394A"/>
    <w:rsid w:val="004D2DE8"/>
    <w:rsid w:val="004F78A3"/>
    <w:rsid w:val="0050430A"/>
    <w:rsid w:val="00515C73"/>
    <w:rsid w:val="00520739"/>
    <w:rsid w:val="00524630"/>
    <w:rsid w:val="00532545"/>
    <w:rsid w:val="00545DC3"/>
    <w:rsid w:val="00553ADD"/>
    <w:rsid w:val="0055474A"/>
    <w:rsid w:val="005A2A3E"/>
    <w:rsid w:val="005B4D4C"/>
    <w:rsid w:val="005B6A5B"/>
    <w:rsid w:val="005C4689"/>
    <w:rsid w:val="005C7A14"/>
    <w:rsid w:val="005D6FBA"/>
    <w:rsid w:val="005E1823"/>
    <w:rsid w:val="005E5F6A"/>
    <w:rsid w:val="005E5FA8"/>
    <w:rsid w:val="005E7127"/>
    <w:rsid w:val="005F69EE"/>
    <w:rsid w:val="006069EC"/>
    <w:rsid w:val="00640B58"/>
    <w:rsid w:val="00644C7C"/>
    <w:rsid w:val="00654F7F"/>
    <w:rsid w:val="00667F88"/>
    <w:rsid w:val="00680425"/>
    <w:rsid w:val="00682329"/>
    <w:rsid w:val="00683ABB"/>
    <w:rsid w:val="00687DB8"/>
    <w:rsid w:val="006900A3"/>
    <w:rsid w:val="006963FF"/>
    <w:rsid w:val="006A0589"/>
    <w:rsid w:val="006B103E"/>
    <w:rsid w:val="006C02CF"/>
    <w:rsid w:val="006F1CCF"/>
    <w:rsid w:val="006F605C"/>
    <w:rsid w:val="00713340"/>
    <w:rsid w:val="00713B4E"/>
    <w:rsid w:val="00715328"/>
    <w:rsid w:val="0071657F"/>
    <w:rsid w:val="00723C25"/>
    <w:rsid w:val="00765DF1"/>
    <w:rsid w:val="00773F76"/>
    <w:rsid w:val="00774559"/>
    <w:rsid w:val="00791F8A"/>
    <w:rsid w:val="007B5791"/>
    <w:rsid w:val="007B78B6"/>
    <w:rsid w:val="007B7D4B"/>
    <w:rsid w:val="007C04DA"/>
    <w:rsid w:val="007C3AD1"/>
    <w:rsid w:val="007D03CB"/>
    <w:rsid w:val="007D133C"/>
    <w:rsid w:val="007F00C0"/>
    <w:rsid w:val="00800397"/>
    <w:rsid w:val="008138B2"/>
    <w:rsid w:val="00823880"/>
    <w:rsid w:val="00830774"/>
    <w:rsid w:val="00834A9A"/>
    <w:rsid w:val="00873690"/>
    <w:rsid w:val="00875103"/>
    <w:rsid w:val="008821BF"/>
    <w:rsid w:val="008873D8"/>
    <w:rsid w:val="00896408"/>
    <w:rsid w:val="008A41EA"/>
    <w:rsid w:val="008B10E5"/>
    <w:rsid w:val="008B3D40"/>
    <w:rsid w:val="008C41F5"/>
    <w:rsid w:val="008E330C"/>
    <w:rsid w:val="008F34DD"/>
    <w:rsid w:val="00900539"/>
    <w:rsid w:val="009110BF"/>
    <w:rsid w:val="00914CF8"/>
    <w:rsid w:val="0092634D"/>
    <w:rsid w:val="00952B26"/>
    <w:rsid w:val="0095392F"/>
    <w:rsid w:val="0097487C"/>
    <w:rsid w:val="009A7327"/>
    <w:rsid w:val="009B19D2"/>
    <w:rsid w:val="009B5766"/>
    <w:rsid w:val="009C175F"/>
    <w:rsid w:val="009C5581"/>
    <w:rsid w:val="009C58C8"/>
    <w:rsid w:val="009D19E5"/>
    <w:rsid w:val="009D7CC1"/>
    <w:rsid w:val="009E1CB1"/>
    <w:rsid w:val="009E3845"/>
    <w:rsid w:val="00A02A87"/>
    <w:rsid w:val="00A32C91"/>
    <w:rsid w:val="00A520C7"/>
    <w:rsid w:val="00A6048A"/>
    <w:rsid w:val="00A62EB9"/>
    <w:rsid w:val="00A6775A"/>
    <w:rsid w:val="00A757D9"/>
    <w:rsid w:val="00A934C4"/>
    <w:rsid w:val="00AA0B82"/>
    <w:rsid w:val="00AA1EB3"/>
    <w:rsid w:val="00AB182A"/>
    <w:rsid w:val="00AB2281"/>
    <w:rsid w:val="00AD72FC"/>
    <w:rsid w:val="00AE465F"/>
    <w:rsid w:val="00AF77F2"/>
    <w:rsid w:val="00B05409"/>
    <w:rsid w:val="00B1573E"/>
    <w:rsid w:val="00B564B3"/>
    <w:rsid w:val="00B572EE"/>
    <w:rsid w:val="00B83FAD"/>
    <w:rsid w:val="00B917E5"/>
    <w:rsid w:val="00BA091F"/>
    <w:rsid w:val="00BB06C9"/>
    <w:rsid w:val="00BB7E89"/>
    <w:rsid w:val="00BC4C92"/>
    <w:rsid w:val="00BC5C15"/>
    <w:rsid w:val="00BF1EB8"/>
    <w:rsid w:val="00BF3B2E"/>
    <w:rsid w:val="00C000FA"/>
    <w:rsid w:val="00C04608"/>
    <w:rsid w:val="00C27625"/>
    <w:rsid w:val="00C61FED"/>
    <w:rsid w:val="00C631DF"/>
    <w:rsid w:val="00C713BA"/>
    <w:rsid w:val="00C81A8A"/>
    <w:rsid w:val="00C87CAD"/>
    <w:rsid w:val="00C94F06"/>
    <w:rsid w:val="00CA4A41"/>
    <w:rsid w:val="00CB1E79"/>
    <w:rsid w:val="00CB3A32"/>
    <w:rsid w:val="00CB41DC"/>
    <w:rsid w:val="00CC52FB"/>
    <w:rsid w:val="00CD0D5C"/>
    <w:rsid w:val="00CE24BF"/>
    <w:rsid w:val="00CE363B"/>
    <w:rsid w:val="00CE4F25"/>
    <w:rsid w:val="00CF7AAC"/>
    <w:rsid w:val="00D00CEC"/>
    <w:rsid w:val="00D274E8"/>
    <w:rsid w:val="00D30EB6"/>
    <w:rsid w:val="00D45883"/>
    <w:rsid w:val="00D60F37"/>
    <w:rsid w:val="00D65AC0"/>
    <w:rsid w:val="00D74786"/>
    <w:rsid w:val="00D83BFB"/>
    <w:rsid w:val="00D86230"/>
    <w:rsid w:val="00DA228B"/>
    <w:rsid w:val="00DB541D"/>
    <w:rsid w:val="00DC210E"/>
    <w:rsid w:val="00DE1117"/>
    <w:rsid w:val="00DF4713"/>
    <w:rsid w:val="00E00632"/>
    <w:rsid w:val="00E12096"/>
    <w:rsid w:val="00E22C49"/>
    <w:rsid w:val="00E22DE1"/>
    <w:rsid w:val="00E237E3"/>
    <w:rsid w:val="00E341EB"/>
    <w:rsid w:val="00E36662"/>
    <w:rsid w:val="00E86F3E"/>
    <w:rsid w:val="00E90CEE"/>
    <w:rsid w:val="00E95A0D"/>
    <w:rsid w:val="00E97753"/>
    <w:rsid w:val="00EC5B4F"/>
    <w:rsid w:val="00EE5CFD"/>
    <w:rsid w:val="00EE6CC4"/>
    <w:rsid w:val="00EF1133"/>
    <w:rsid w:val="00EF3501"/>
    <w:rsid w:val="00EF5B53"/>
    <w:rsid w:val="00F0058D"/>
    <w:rsid w:val="00F21AB9"/>
    <w:rsid w:val="00F25621"/>
    <w:rsid w:val="00F31FCC"/>
    <w:rsid w:val="00F515F6"/>
    <w:rsid w:val="00F5537D"/>
    <w:rsid w:val="00F63D3D"/>
    <w:rsid w:val="00F66EDA"/>
    <w:rsid w:val="00F746B6"/>
    <w:rsid w:val="00F759AC"/>
    <w:rsid w:val="00F82EFA"/>
    <w:rsid w:val="00F94734"/>
    <w:rsid w:val="00F97FC6"/>
    <w:rsid w:val="00FA354F"/>
    <w:rsid w:val="00FB11AC"/>
    <w:rsid w:val="00FC17A6"/>
    <w:rsid w:val="00FC283B"/>
    <w:rsid w:val="00FD0A33"/>
    <w:rsid w:val="00FD4628"/>
    <w:rsid w:val="00FE4B81"/>
    <w:rsid w:val="00FE6199"/>
    <w:rsid w:val="00FF3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5B804E-761F-43A0-BC11-DBB56067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5AC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C3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95392F"/>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95392F"/>
    <w:rPr>
      <w:rFonts w:cs="Times New Roman"/>
    </w:rPr>
  </w:style>
  <w:style w:type="paragraph" w:styleId="Pidipagina">
    <w:name w:val="footer"/>
    <w:basedOn w:val="Normale"/>
    <w:link w:val="PidipaginaCarattere"/>
    <w:uiPriority w:val="99"/>
    <w:rsid w:val="0095392F"/>
    <w:pPr>
      <w:tabs>
        <w:tab w:val="center" w:pos="4819"/>
        <w:tab w:val="right" w:pos="9638"/>
      </w:tabs>
      <w:spacing w:after="0" w:line="240" w:lineRule="auto"/>
    </w:pPr>
  </w:style>
  <w:style w:type="character" w:customStyle="1" w:styleId="PidipaginaCarattere">
    <w:name w:val="Piè di pagina Carattere"/>
    <w:link w:val="Pidipagina"/>
    <w:uiPriority w:val="99"/>
    <w:locked/>
    <w:rsid w:val="0095392F"/>
    <w:rPr>
      <w:rFonts w:cs="Times New Roman"/>
    </w:rPr>
  </w:style>
  <w:style w:type="paragraph" w:styleId="Testofumetto">
    <w:name w:val="Balloon Text"/>
    <w:basedOn w:val="Normale"/>
    <w:link w:val="TestofumettoCarattere"/>
    <w:uiPriority w:val="99"/>
    <w:semiHidden/>
    <w:rsid w:val="009539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5392F"/>
    <w:rPr>
      <w:rFonts w:ascii="Tahoma" w:hAnsi="Tahoma" w:cs="Tahoma"/>
      <w:sz w:val="16"/>
      <w:szCs w:val="16"/>
    </w:rPr>
  </w:style>
  <w:style w:type="paragraph" w:styleId="Paragrafoelenco">
    <w:name w:val="List Paragraph"/>
    <w:basedOn w:val="Normale"/>
    <w:uiPriority w:val="99"/>
    <w:qFormat/>
    <w:rsid w:val="001741BF"/>
    <w:pPr>
      <w:ind w:left="720"/>
      <w:contextualSpacing/>
    </w:pPr>
  </w:style>
  <w:style w:type="character" w:styleId="Collegamentoipertestuale">
    <w:name w:val="Hyperlink"/>
    <w:uiPriority w:val="99"/>
    <w:rsid w:val="00873690"/>
    <w:rPr>
      <w:rFonts w:cs="Times New Roman"/>
      <w:color w:val="0000FF"/>
      <w:u w:val="single"/>
    </w:rPr>
  </w:style>
  <w:style w:type="paragraph" w:styleId="Didascalia">
    <w:name w:val="caption"/>
    <w:basedOn w:val="Normale"/>
    <w:next w:val="Normale"/>
    <w:qFormat/>
    <w:locked/>
    <w:rsid w:val="00644C7C"/>
    <w:pPr>
      <w:spacing w:after="0" w:line="240" w:lineRule="auto"/>
      <w:jc w:val="center"/>
    </w:pPr>
    <w:rPr>
      <w:rFonts w:ascii="Times New Roman" w:eastAsia="Times New Roman" w:hAnsi="Times New Roman"/>
      <w:b/>
      <w:sz w:val="3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706776">
      <w:bodyDiv w:val="1"/>
      <w:marLeft w:val="0"/>
      <w:marRight w:val="0"/>
      <w:marTop w:val="0"/>
      <w:marBottom w:val="0"/>
      <w:divBdr>
        <w:top w:val="none" w:sz="0" w:space="0" w:color="auto"/>
        <w:left w:val="none" w:sz="0" w:space="0" w:color="auto"/>
        <w:bottom w:val="none" w:sz="0" w:space="0" w:color="auto"/>
        <w:right w:val="none" w:sz="0" w:space="0" w:color="auto"/>
      </w:divBdr>
    </w:div>
    <w:div w:id="1951231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osimo.a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9691-4190-447B-98D6-D2DF4215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3799</Words>
  <Characters>21658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
  <dc:creator>Asus</dc:creator>
  <cp:keywords/>
  <dc:description/>
  <cp:lastModifiedBy>Stefano Ippoliti</cp:lastModifiedBy>
  <cp:revision>40</cp:revision>
  <cp:lastPrinted>2019-11-11T13:09:00Z</cp:lastPrinted>
  <dcterms:created xsi:type="dcterms:W3CDTF">2019-09-04T09:26:00Z</dcterms:created>
  <dcterms:modified xsi:type="dcterms:W3CDTF">2019-11-15T12:37:00Z</dcterms:modified>
</cp:coreProperties>
</file>